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28F57">
      <w:pPr>
        <w:pStyle w:val="4"/>
        <w:widowControl/>
        <w:shd w:val="clear" w:color="auto" w:fill="FFFFFF"/>
        <w:spacing w:beforeAutospacing="0" w:afterAutospacing="0" w:line="700" w:lineRule="exact"/>
        <w:jc w:val="center"/>
        <w:textAlignment w:val="center"/>
        <w:rPr>
          <w:rFonts w:hint="eastAsia" w:ascii="方正小标宋简体" w:hAnsi="宋体" w:eastAsia="方正小标宋简体" w:cs="宋体"/>
          <w:sz w:val="44"/>
          <w:szCs w:val="44"/>
        </w:rPr>
      </w:pPr>
      <w:r>
        <w:rPr>
          <w:rStyle w:val="7"/>
          <w:rFonts w:hint="eastAsia" w:ascii="方正小标宋简体" w:hAnsi="宋体" w:eastAsia="方正小标宋简体" w:cs="黑体"/>
          <w:sz w:val="44"/>
          <w:szCs w:val="44"/>
          <w:shd w:val="clear" w:color="auto" w:fill="FFFFFF"/>
        </w:rPr>
        <w:t>闽南师范大学小规模工程设计、监理单位库</w:t>
      </w:r>
    </w:p>
    <w:p w14:paraId="558DD73E">
      <w:pPr>
        <w:pStyle w:val="4"/>
        <w:widowControl/>
        <w:shd w:val="clear" w:color="auto" w:fill="FFFFFF"/>
        <w:spacing w:beforeAutospacing="0" w:afterAutospacing="0" w:line="700" w:lineRule="exact"/>
        <w:jc w:val="center"/>
        <w:textAlignment w:val="center"/>
        <w:rPr>
          <w:rStyle w:val="7"/>
          <w:rFonts w:hint="eastAsia" w:ascii="方正小标宋简体" w:hAnsi="宋体" w:eastAsia="方正小标宋简体" w:cs="黑体"/>
          <w:sz w:val="44"/>
          <w:szCs w:val="44"/>
          <w:shd w:val="clear" w:color="auto" w:fill="FFFFFF"/>
        </w:rPr>
      </w:pPr>
      <w:r>
        <w:rPr>
          <w:rStyle w:val="7"/>
          <w:rFonts w:hint="eastAsia" w:ascii="方正小标宋简体" w:hAnsi="宋体" w:eastAsia="方正小标宋简体" w:cs="黑体"/>
          <w:sz w:val="44"/>
          <w:szCs w:val="44"/>
          <w:shd w:val="clear" w:color="auto" w:fill="FFFFFF"/>
        </w:rPr>
        <w:t>管理办法（2024年修订）</w:t>
      </w:r>
    </w:p>
    <w:p w14:paraId="7E0C1A2A">
      <w:pPr>
        <w:pStyle w:val="4"/>
        <w:widowControl/>
        <w:shd w:val="clear" w:color="auto" w:fill="FFFFFF"/>
        <w:spacing w:beforeLines="50" w:beforeAutospacing="0" w:afterAutospacing="0" w:line="600" w:lineRule="atLeast"/>
        <w:jc w:val="center"/>
        <w:textAlignment w:val="center"/>
        <w:rPr>
          <w:rFonts w:ascii="宋体" w:hAnsi="宋体" w:eastAsia="宋体" w:cs="宋体"/>
          <w:b/>
          <w:sz w:val="32"/>
          <w:szCs w:val="32"/>
        </w:rPr>
      </w:pPr>
      <w:r>
        <w:rPr>
          <w:rStyle w:val="7"/>
          <w:rFonts w:hint="eastAsia" w:ascii="黑体" w:hAnsi="宋体" w:eastAsia="黑体" w:cs="黑体"/>
          <w:b w:val="0"/>
          <w:bCs/>
          <w:sz w:val="32"/>
          <w:szCs w:val="32"/>
          <w:shd w:val="clear" w:color="auto" w:fill="FFFFFF"/>
        </w:rPr>
        <w:t>第一章  总  则</w:t>
      </w:r>
    </w:p>
    <w:p w14:paraId="6C7A0544">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第一条</w:t>
      </w:r>
      <w:r>
        <w:rPr>
          <w:rFonts w:hint="eastAsia" w:ascii="仿宋_GB2312" w:hAnsi="仿宋" w:eastAsia="仿宋_GB2312" w:cs="仿宋"/>
          <w:sz w:val="32"/>
          <w:szCs w:val="32"/>
          <w:shd w:val="clear" w:color="auto" w:fill="FFFFFF"/>
        </w:rPr>
        <w:t> 为规范学校小规模工程项目设计、监理的采购活动，提高工程质量和效益，根据《闽南师范大学修缮项目管理办法》，结合学校实际，制定本办法。</w:t>
      </w:r>
    </w:p>
    <w:p w14:paraId="2393DEAF">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第二条 </w:t>
      </w:r>
      <w:r>
        <w:rPr>
          <w:rFonts w:hint="eastAsia" w:ascii="仿宋_GB2312" w:hAnsi="仿宋" w:eastAsia="仿宋_GB2312" w:cs="仿宋"/>
          <w:sz w:val="32"/>
          <w:szCs w:val="32"/>
          <w:shd w:val="clear" w:color="auto" w:fill="FFFFFF"/>
        </w:rPr>
        <w:t>学校采购控制价在10万元（不含）以下的各类小规模工程中有关设计、监理的服务项目，均适用本办法。</w:t>
      </w:r>
    </w:p>
    <w:p w14:paraId="2B228CB2">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第三条</w:t>
      </w:r>
      <w:r>
        <w:rPr>
          <w:rFonts w:hint="eastAsia" w:ascii="仿宋_GB2312" w:hAnsi="仿宋" w:eastAsia="仿宋_GB2312" w:cs="仿宋"/>
          <w:sz w:val="32"/>
          <w:szCs w:val="32"/>
          <w:shd w:val="clear" w:color="auto" w:fill="FFFFFF"/>
        </w:rPr>
        <w:t> 本办法所称设计、监理单位库，是指通过公开采购选取的具有一定资质的工程设计、监理单位储备。</w:t>
      </w:r>
    </w:p>
    <w:p w14:paraId="65325BBA">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第四条</w:t>
      </w:r>
      <w:r>
        <w:rPr>
          <w:rFonts w:hint="eastAsia" w:ascii="仿宋_GB2312" w:hAnsi="仿宋" w:eastAsia="仿宋_GB2312" w:cs="仿宋"/>
          <w:sz w:val="32"/>
          <w:szCs w:val="32"/>
          <w:shd w:val="clear" w:color="auto" w:fill="FFFFFF"/>
        </w:rPr>
        <w:t> 设计、监理单位库管理应遵循公开择优、考核评价、动态建设的原则。</w:t>
      </w:r>
    </w:p>
    <w:p w14:paraId="2E764DCE">
      <w:pPr>
        <w:pStyle w:val="4"/>
        <w:widowControl/>
        <w:shd w:val="clear" w:color="auto" w:fill="FFFFFF"/>
        <w:spacing w:beforeLines="50" w:beforeAutospacing="0" w:afterLines="50" w:afterAutospacing="0" w:line="560" w:lineRule="exact"/>
        <w:ind w:firstLine="620" w:firstLineChars="200"/>
        <w:jc w:val="center"/>
        <w:textAlignment w:val="center"/>
        <w:rPr>
          <w:rFonts w:ascii="宋体" w:hAnsi="宋体" w:eastAsia="宋体" w:cs="宋体"/>
          <w:b/>
          <w:sz w:val="21"/>
          <w:szCs w:val="21"/>
        </w:rPr>
      </w:pPr>
      <w:r>
        <w:rPr>
          <w:rStyle w:val="7"/>
          <w:rFonts w:hint="eastAsia" w:ascii="黑体" w:hAnsi="宋体" w:eastAsia="黑体" w:cs="黑体"/>
          <w:b w:val="0"/>
          <w:bCs/>
          <w:sz w:val="31"/>
          <w:szCs w:val="31"/>
          <w:shd w:val="clear" w:color="auto" w:fill="FFFFFF"/>
        </w:rPr>
        <w:t>第二章 设计、监理单位库的使用</w:t>
      </w:r>
    </w:p>
    <w:p w14:paraId="5D7E3500">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第五条</w:t>
      </w:r>
      <w:r>
        <w:rPr>
          <w:rFonts w:hint="eastAsia" w:ascii="仿宋_GB2312" w:hAnsi="仿宋" w:eastAsia="仿宋_GB2312" w:cs="仿宋"/>
          <w:sz w:val="32"/>
          <w:szCs w:val="32"/>
          <w:shd w:val="clear" w:color="auto" w:fill="FFFFFF"/>
        </w:rPr>
        <w:t> 学校各单项计费额在10万元（不含）以下的设计、监理小规模工程项目，原则上从设计、监理库中抽取设计、监理单位。若有特殊资质要求或其他有特殊情况的项目，可按有关规定另行选择。</w:t>
      </w:r>
    </w:p>
    <w:p w14:paraId="007B3A33">
      <w:pPr>
        <w:pStyle w:val="4"/>
        <w:widowControl/>
        <w:shd w:val="clear" w:color="auto" w:fill="FFFFFF"/>
        <w:spacing w:beforeAutospacing="0" w:afterAutospacing="0" w:line="560" w:lineRule="exact"/>
        <w:ind w:firstLine="640" w:firstLineChars="200"/>
        <w:textAlignment w:val="center"/>
        <w:rPr>
          <w:rFonts w:hint="default" w:ascii="仿宋_GB2312" w:hAnsi="仿宋" w:eastAsia="仿宋_GB2312" w:cs="仿宋"/>
          <w:sz w:val="32"/>
          <w:szCs w:val="32"/>
          <w:shd w:val="clear" w:color="auto" w:fill="FFFFFF"/>
          <w:lang w:val="en-US" w:eastAsia="zh-CN"/>
        </w:rPr>
      </w:pPr>
      <w:r>
        <w:rPr>
          <w:rFonts w:hint="eastAsia" w:ascii="楷体_GB2312" w:hAnsi="楷体" w:eastAsia="楷体_GB2312" w:cs="楷体"/>
          <w:sz w:val="32"/>
          <w:szCs w:val="32"/>
          <w:shd w:val="clear" w:color="auto" w:fill="FFFFFF"/>
          <w:lang w:val="en-US" w:eastAsia="zh-CN"/>
        </w:rPr>
        <w:t>第六条</w:t>
      </w:r>
      <w:r>
        <w:rPr>
          <w:rFonts w:hint="eastAsia" w:ascii="仿宋_GB2312" w:hAnsi="仿宋" w:eastAsia="仿宋_GB2312" w:cs="仿宋"/>
          <w:sz w:val="32"/>
          <w:szCs w:val="32"/>
          <w:shd w:val="clear" w:color="auto" w:fill="FFFFFF"/>
          <w:lang w:val="en-US" w:eastAsia="zh-CN"/>
        </w:rPr>
        <w:t xml:space="preserve">  设计、监理项目按以下方式从设计单位库、监理单位库中随机抽取：</w:t>
      </w:r>
    </w:p>
    <w:p w14:paraId="1D90690A">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一）工程项目经基建处审核后，在学校招投标信息网、基建处网站公示工程项目设计、监理库随机抽取公告，公告期一个工作日。根据学校年度小规模工程工作安排可提前抽取设计、监理单位。设计单位可按三个(或以下)单项工程合并一个项目抽取，但工程项目预算审核价总和不得超过222万元；监理单位可按五个（或以下）单项工程合并一个项目抽取，但工程项目预算审核价总和不得超过303万。</w:t>
      </w:r>
    </w:p>
    <w:p w14:paraId="4BDC2EEB">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二）由基建处相关人员（不少于三人）随机抽取工程项目的工程设计、监理单位。分三次抽取号码球：第一次为第三成交候选人，第二次为第二成交候选人，第三次为第一成交候选人。如若第一成交候选人弃权，则由第二成交候选人成交，以此类推。若成交单位有3个及以上未竣工验收合格的学校在建项目，原则上不再参与新项目的抽取（应急抢修项目除外）。</w:t>
      </w:r>
    </w:p>
    <w:p w14:paraId="6CF3053E">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（三）抽取结果在学校招投标信息网、基建处网站公示一个工作日，公示结束后成交单位在规定时间内提交响应文件并领取成交通知书，签订设计、监理合同。</w:t>
      </w:r>
    </w:p>
    <w:p w14:paraId="689AD0A9">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w:t>
      </w:r>
      <w:r>
        <w:rPr>
          <w:rFonts w:hint="eastAsia" w:ascii="楷体_GB2312" w:hAnsi="楷体" w:eastAsia="楷体_GB2312" w:cs="楷体"/>
          <w:sz w:val="32"/>
          <w:szCs w:val="32"/>
          <w:shd w:val="clear" w:color="auto" w:fill="FFFFFF"/>
          <w:lang w:val="en-US" w:eastAsia="zh-CN"/>
        </w:rPr>
        <w:t>七</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应急或抢修的工程项目，可直接从设计、监理库中指派，或从库外另行委托，并按规定及时办理相关手续。</w:t>
      </w:r>
    </w:p>
    <w:p w14:paraId="0CF9E390">
      <w:pPr>
        <w:pStyle w:val="4"/>
        <w:widowControl/>
        <w:shd w:val="clear" w:color="auto" w:fill="FFFFFF"/>
        <w:spacing w:beforeLines="50" w:beforeAutospacing="0" w:afterLines="50" w:afterAutospacing="0" w:line="560" w:lineRule="exact"/>
        <w:ind w:firstLine="640" w:firstLineChars="200"/>
        <w:jc w:val="center"/>
        <w:textAlignment w:val="center"/>
        <w:rPr>
          <w:rFonts w:hint="eastAsia" w:ascii="黑体" w:hAnsi="黑体" w:eastAsia="黑体" w:cs="宋体"/>
          <w:b/>
          <w:sz w:val="32"/>
          <w:szCs w:val="32"/>
        </w:rPr>
      </w:pPr>
      <w:r>
        <w:rPr>
          <w:rStyle w:val="7"/>
          <w:rFonts w:hint="eastAsia" w:ascii="黑体" w:hAnsi="黑体" w:eastAsia="黑体" w:cs="黑体"/>
          <w:b w:val="0"/>
          <w:bCs/>
          <w:sz w:val="32"/>
          <w:szCs w:val="32"/>
          <w:shd w:val="clear" w:color="auto" w:fill="FFFFFF"/>
        </w:rPr>
        <w:t>第三章</w:t>
      </w:r>
      <w:r>
        <w:rPr>
          <w:rStyle w:val="7"/>
          <w:rFonts w:hint="eastAsia" w:ascii="黑体" w:hAnsi="宋体" w:eastAsia="黑体" w:cs="黑体"/>
          <w:b w:val="0"/>
          <w:bCs/>
          <w:sz w:val="32"/>
          <w:szCs w:val="32"/>
          <w:shd w:val="clear" w:color="auto" w:fill="FFFFFF"/>
        </w:rPr>
        <w:t>  </w:t>
      </w:r>
      <w:r>
        <w:rPr>
          <w:rStyle w:val="7"/>
          <w:rFonts w:hint="eastAsia" w:ascii="黑体" w:hAnsi="黑体" w:eastAsia="黑体" w:cs="黑体"/>
          <w:b w:val="0"/>
          <w:bCs/>
          <w:sz w:val="32"/>
          <w:szCs w:val="32"/>
          <w:shd w:val="clear" w:color="auto" w:fill="FFFFFF"/>
        </w:rPr>
        <w:t>控制价及优惠率的确定</w:t>
      </w:r>
    </w:p>
    <w:p w14:paraId="71D80C69">
      <w:pPr>
        <w:pStyle w:val="4"/>
        <w:widowControl/>
        <w:shd w:val="clear" w:color="auto" w:fill="FFFFFF"/>
        <w:spacing w:beforeAutospacing="0" w:afterAutospacing="0" w:line="560" w:lineRule="exact"/>
        <w:ind w:firstLine="640" w:firstLineChars="200"/>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w:t>
      </w:r>
      <w:r>
        <w:rPr>
          <w:rFonts w:hint="eastAsia" w:ascii="楷体_GB2312" w:hAnsi="楷体" w:eastAsia="楷体_GB2312" w:cs="楷体"/>
          <w:sz w:val="32"/>
          <w:szCs w:val="32"/>
          <w:shd w:val="clear" w:color="auto" w:fill="FFFFFF"/>
          <w:lang w:val="en-US" w:eastAsia="zh-CN"/>
        </w:rPr>
        <w:t>八</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工程项目设计单位抽取的控制价为工程预算审核价*4.5%*优惠率。优惠率采用固定优惠率，预算审核价在100万以下的工程项目优惠率为20 %，即成交价为工程预算审核价*4.5%*（1-20%）；预算审核价在100-222万元的工程项目优惠率为30%，即成交价为预算审核价*4.5%*（1-30%）。[项目未完成：①项目只进行到方案设计阶段，方案已完成未进行施工图设计，设计费用计算方式：以工程项目估算价作为计费基数，按设计成交价的30%支付；②项目已完成施工图设计但未作预算审核，设计费用计算方式：以工程项目估算价或预算价（如果预算价已出）作为计费基数，按设计成交价的70%支付；③项目已完成施工图设计且预算审核完成，设计费用计算方式：以工程项目预算审核价为计费基数，按设计成交价的80%支付。</w:t>
      </w:r>
    </w:p>
    <w:p w14:paraId="01D878DA">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w:t>
      </w:r>
      <w:r>
        <w:rPr>
          <w:rFonts w:hint="eastAsia" w:ascii="楷体_GB2312" w:hAnsi="楷体" w:eastAsia="楷体_GB2312" w:cs="楷体"/>
          <w:sz w:val="32"/>
          <w:szCs w:val="32"/>
          <w:shd w:val="clear" w:color="auto" w:fill="FFFFFF"/>
          <w:lang w:val="en-US" w:eastAsia="zh-CN"/>
        </w:rPr>
        <w:t>九</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xml:space="preserve"> 工程项目监理单位抽取的控制价为工程预算审核价*3.3%*优惠率。优惠率采用固定优惠率，预算审核价在100万以下的工程项目优惠率为20 %，即成交价为工程预算审核价*3.3%*（1-20%）；预算审核在100-303万元的工程项目优惠率为30%，即成交价为预算审核价*3.3%*（1-30%）。</w:t>
      </w:r>
    </w:p>
    <w:p w14:paraId="0D41D54E">
      <w:pPr>
        <w:pStyle w:val="4"/>
        <w:widowControl/>
        <w:shd w:val="clear" w:color="auto" w:fill="FFFFFF"/>
        <w:spacing w:beforeLines="50" w:beforeAutospacing="0" w:afterLines="50" w:afterAutospacing="0" w:line="560" w:lineRule="exact"/>
        <w:ind w:firstLine="640" w:firstLineChars="200"/>
        <w:jc w:val="center"/>
        <w:textAlignment w:val="center"/>
        <w:rPr>
          <w:rFonts w:hint="eastAsia" w:ascii="黑体" w:hAnsi="黑体" w:eastAsia="黑体" w:cs="宋体"/>
          <w:b/>
          <w:sz w:val="32"/>
          <w:szCs w:val="32"/>
        </w:rPr>
      </w:pPr>
      <w:r>
        <w:rPr>
          <w:rStyle w:val="7"/>
          <w:rFonts w:hint="eastAsia" w:ascii="黑体" w:hAnsi="黑体" w:eastAsia="黑体" w:cs="黑体"/>
          <w:b w:val="0"/>
          <w:bCs/>
          <w:sz w:val="32"/>
          <w:szCs w:val="32"/>
          <w:shd w:val="clear" w:color="auto" w:fill="FFFFFF"/>
        </w:rPr>
        <w:t>第四章</w:t>
      </w:r>
      <w:r>
        <w:rPr>
          <w:rStyle w:val="7"/>
          <w:rFonts w:hint="eastAsia" w:ascii="黑体" w:hAnsi="宋体" w:eastAsia="黑体" w:cs="黑体"/>
          <w:b w:val="0"/>
          <w:bCs/>
          <w:sz w:val="32"/>
          <w:szCs w:val="32"/>
          <w:shd w:val="clear" w:color="auto" w:fill="FFFFFF"/>
        </w:rPr>
        <w:t> </w:t>
      </w:r>
      <w:r>
        <w:rPr>
          <w:rStyle w:val="7"/>
          <w:rFonts w:hint="eastAsia" w:ascii="黑体" w:hAnsi="黑体" w:eastAsia="黑体" w:cs="黑体"/>
          <w:b w:val="0"/>
          <w:bCs/>
          <w:sz w:val="32"/>
          <w:szCs w:val="32"/>
          <w:shd w:val="clear" w:color="auto" w:fill="FFFFFF"/>
        </w:rPr>
        <w:t>设计、监理费支付</w:t>
      </w:r>
    </w:p>
    <w:p w14:paraId="65F07928">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w:t>
      </w:r>
      <w:r>
        <w:rPr>
          <w:rFonts w:hint="eastAsia" w:ascii="楷体_GB2312" w:hAnsi="楷体" w:eastAsia="楷体_GB2312" w:cs="楷体"/>
          <w:sz w:val="32"/>
          <w:szCs w:val="32"/>
          <w:shd w:val="clear" w:color="auto" w:fill="FFFFFF"/>
          <w:lang w:val="en-US" w:eastAsia="zh-CN"/>
        </w:rPr>
        <w:t>十</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工程预算审核完成后支付设计费的80%，工程竣工验收合格后支付至设计费的100%。</w:t>
      </w:r>
    </w:p>
    <w:p w14:paraId="1781AA98">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第十</w:t>
      </w:r>
      <w:r>
        <w:rPr>
          <w:rFonts w:hint="eastAsia" w:ascii="楷体_GB2312" w:hAnsi="楷体" w:eastAsia="楷体_GB2312" w:cs="楷体"/>
          <w:sz w:val="32"/>
          <w:szCs w:val="32"/>
          <w:shd w:val="clear" w:color="auto" w:fill="FFFFFF"/>
          <w:lang w:val="en-US" w:eastAsia="zh-CN"/>
        </w:rPr>
        <w:t>一</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工程竣工验收合格后支付监理费的70%，工程结算完成后支付至监理费的100%。</w:t>
      </w:r>
    </w:p>
    <w:p w14:paraId="07A21CDD">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设计、监理单位支付费用时应按学校规定提交相应票据。</w:t>
      </w:r>
    </w:p>
    <w:p w14:paraId="3DF20635">
      <w:pPr>
        <w:pStyle w:val="4"/>
        <w:widowControl/>
        <w:shd w:val="clear" w:color="auto" w:fill="FFFFFF"/>
        <w:spacing w:beforeLines="50" w:beforeAutospacing="0" w:afterLines="50" w:afterAutospacing="0" w:line="560" w:lineRule="exact"/>
        <w:ind w:firstLine="640" w:firstLineChars="200"/>
        <w:jc w:val="center"/>
        <w:textAlignment w:val="center"/>
        <w:rPr>
          <w:rFonts w:hint="eastAsia" w:ascii="黑体" w:hAnsi="黑体" w:eastAsia="黑体" w:cs="宋体"/>
          <w:b/>
          <w:sz w:val="32"/>
          <w:szCs w:val="32"/>
        </w:rPr>
      </w:pPr>
      <w:r>
        <w:rPr>
          <w:rStyle w:val="7"/>
          <w:rFonts w:hint="eastAsia" w:ascii="黑体" w:hAnsi="黑体" w:eastAsia="黑体" w:cs="黑体"/>
          <w:b w:val="0"/>
          <w:bCs/>
          <w:sz w:val="32"/>
          <w:szCs w:val="32"/>
          <w:shd w:val="clear" w:color="auto" w:fill="FFFFFF"/>
        </w:rPr>
        <w:t>第五章</w:t>
      </w:r>
      <w:r>
        <w:rPr>
          <w:rStyle w:val="7"/>
          <w:rFonts w:hint="eastAsia" w:ascii="仿宋_GB2312" w:hAnsi="宋体" w:eastAsia="仿宋_GB2312" w:cs="黑体"/>
          <w:bCs/>
          <w:sz w:val="32"/>
          <w:szCs w:val="32"/>
          <w:shd w:val="clear" w:color="auto" w:fill="FFFFFF"/>
        </w:rPr>
        <w:t xml:space="preserve">  </w:t>
      </w:r>
      <w:r>
        <w:rPr>
          <w:rStyle w:val="7"/>
          <w:rFonts w:hint="eastAsia" w:ascii="黑体" w:hAnsi="黑体" w:eastAsia="黑体" w:cs="黑体"/>
          <w:b w:val="0"/>
          <w:bCs/>
          <w:sz w:val="32"/>
          <w:szCs w:val="32"/>
          <w:shd w:val="clear" w:color="auto" w:fill="FFFFFF"/>
        </w:rPr>
        <w:t>入库设计、监理单位的考核管理</w:t>
      </w:r>
    </w:p>
    <w:p w14:paraId="213459EA">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第十</w:t>
      </w:r>
      <w:r>
        <w:rPr>
          <w:rFonts w:hint="eastAsia" w:ascii="楷体_GB2312" w:hAnsi="楷体" w:eastAsia="楷体_GB2312" w:cs="楷体"/>
          <w:sz w:val="32"/>
          <w:szCs w:val="32"/>
          <w:shd w:val="clear" w:color="auto" w:fill="FFFFFF"/>
          <w:lang w:val="en-US" w:eastAsia="zh-CN"/>
        </w:rPr>
        <w:t>二</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入库设计、监理单位实行考核评价机制。</w:t>
      </w:r>
    </w:p>
    <w:p w14:paraId="7CD358B3">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工程项目竣工验收合格后，基建处对设计、监理单位进行考评。</w:t>
      </w:r>
    </w:p>
    <w:p w14:paraId="71574244">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基建处根据单项项目的考评，对设计、监理单位进行年度综合考评，年度考评得分最终按各项目考评分的平均值计算。入库单位年度考核为合格及以上（年度考评得分≥80分）在服务期限内（二年）可继续留库；年度考核被评为“不合格”（年度考评分＜80分）下一年度被淘汰。年度内未承接项目的设计、监理单位，不列入考评范围，下一年度继续留库。（小规模工程设计、监理库考核表见附件）</w:t>
      </w:r>
    </w:p>
    <w:p w14:paraId="1DD58749">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第十</w:t>
      </w:r>
      <w:r>
        <w:rPr>
          <w:rFonts w:hint="eastAsia" w:ascii="楷体_GB2312" w:hAnsi="楷体" w:eastAsia="楷体_GB2312" w:cs="楷体"/>
          <w:sz w:val="32"/>
          <w:szCs w:val="32"/>
          <w:shd w:val="clear" w:color="auto" w:fill="FFFFFF"/>
          <w:lang w:val="en-US" w:eastAsia="zh-CN"/>
        </w:rPr>
        <w:t>三</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对入库设计、监理单位实行淘汰机制。有下列情形之一的单位，将被即时淘汰出工程设计、监理库：</w:t>
      </w:r>
    </w:p>
    <w:p w14:paraId="695AE4D2">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（一）单位的资质被降级或变更，不适合承担相关工程项目的设计、监理或已不符合入库条件；</w:t>
      </w:r>
    </w:p>
    <w:p w14:paraId="3AFF0F45">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（二）单位被政府主管部门列入建筑市场主体黑名单；</w:t>
      </w:r>
    </w:p>
    <w:p w14:paraId="526D23F6">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（三）不及时提交相关成果资料，且在采购人催告的合理期限内仍未完成，影响学校正常工作；</w:t>
      </w:r>
    </w:p>
    <w:p w14:paraId="279396A9">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（四） 因设计、监理不到位发生工程质量问题、安全责任事故；</w:t>
      </w:r>
    </w:p>
    <w:p w14:paraId="486B0C47">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（五）被抽中后拒绝承接项目或拒绝承担指定的应急抢险项目的；或不在规定时间内领取成交通知书及签订合同；</w:t>
      </w:r>
    </w:p>
    <w:p w14:paraId="4BEB4562">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（六）发现设计监理单位有不廉洁行为；</w:t>
      </w:r>
    </w:p>
    <w:p w14:paraId="6FD76D86">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（七）发现设计监理单位在工程施工监督过程及工程相关资料的盖章确认过程中对施工单位存在吃拿卡要等行为；</w:t>
      </w:r>
    </w:p>
    <w:p w14:paraId="724CEEF1">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（八）施工单位提交工程相关资料到设计监理单位盖章确认，如工程资料属实且符合要求，设计监理单位需在七个工作日内盖章确认完成，如无特殊原因逾期未给予确认视为存在上述第七条行为；</w:t>
      </w:r>
    </w:p>
    <w:p w14:paraId="00B53214">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（九）存在对项目工程实施和学校造成不利影响的其他情形。</w:t>
      </w:r>
    </w:p>
    <w:p w14:paraId="76E27356">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仿宋_GB2312" w:hAnsi="仿宋" w:eastAsia="仿宋_GB2312" w:cs="仿宋"/>
          <w:sz w:val="32"/>
          <w:szCs w:val="32"/>
          <w:shd w:val="clear" w:color="auto" w:fill="FFFFFF"/>
        </w:rPr>
        <w:t>存在以上情形的单位，若在校已有正在实施的项目，仍应按合同约定履行完其职责。</w:t>
      </w:r>
    </w:p>
    <w:p w14:paraId="23B6FB06">
      <w:pPr>
        <w:pStyle w:val="4"/>
        <w:widowControl/>
        <w:shd w:val="clear" w:color="auto" w:fill="FFFFFF"/>
        <w:spacing w:beforeAutospacing="0" w:afterAutospacing="0" w:line="560" w:lineRule="exact"/>
        <w:ind w:firstLine="640" w:firstLineChars="200"/>
        <w:textAlignment w:val="center"/>
        <w:rPr>
          <w:rFonts w:hint="eastAsia" w:ascii="仿宋_GB2312" w:hAnsi="仿宋" w:eastAsia="仿宋_GB2312" w:cs="仿宋"/>
          <w:sz w:val="32"/>
          <w:szCs w:val="32"/>
          <w:shd w:val="clear" w:color="auto" w:fill="FFFFFF"/>
        </w:rPr>
      </w:pPr>
      <w:r>
        <w:rPr>
          <w:rFonts w:hint="eastAsia" w:ascii="楷体_GB2312" w:hAnsi="楷体" w:eastAsia="楷体_GB2312" w:cs="楷体"/>
          <w:sz w:val="32"/>
          <w:szCs w:val="32"/>
          <w:shd w:val="clear" w:color="auto" w:fill="FFFFFF"/>
        </w:rPr>
        <w:t>第十</w:t>
      </w:r>
      <w:r>
        <w:rPr>
          <w:rFonts w:hint="eastAsia" w:ascii="楷体_GB2312" w:hAnsi="楷体" w:eastAsia="楷体_GB2312" w:cs="楷体"/>
          <w:sz w:val="32"/>
          <w:szCs w:val="32"/>
          <w:shd w:val="clear" w:color="auto" w:fill="FFFFFF"/>
          <w:lang w:val="en-US" w:eastAsia="zh-CN"/>
        </w:rPr>
        <w:t>四</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设计、监理单位库实行动态管理。基建处根据学校小规模工程的总量变化或项目要求，以及设计、监理单位在库数量情况，适时对设计、监理单位进行增补。</w:t>
      </w:r>
    </w:p>
    <w:p w14:paraId="40CFE0B9">
      <w:pPr>
        <w:pStyle w:val="4"/>
        <w:widowControl/>
        <w:shd w:val="clear" w:color="auto" w:fill="FFFFFF"/>
        <w:spacing w:beforeLines="50" w:beforeAutospacing="0" w:afterLines="50" w:afterAutospacing="0" w:line="560" w:lineRule="exact"/>
        <w:ind w:firstLine="640" w:firstLineChars="200"/>
        <w:jc w:val="center"/>
        <w:textAlignment w:val="center"/>
        <w:rPr>
          <w:rFonts w:hint="eastAsia" w:ascii="黑体" w:hAnsi="黑体" w:eastAsia="黑体" w:cs="黑体"/>
          <w:sz w:val="32"/>
          <w:szCs w:val="32"/>
          <w:shd w:val="clear" w:color="auto" w:fill="FFFFFF"/>
        </w:rPr>
      </w:pPr>
      <w:r>
        <w:rPr>
          <w:rFonts w:hint="eastAsia" w:ascii="黑体" w:hAnsi="黑体" w:eastAsia="黑体" w:cs="黑体"/>
          <w:sz w:val="32"/>
          <w:szCs w:val="32"/>
          <w:shd w:val="clear" w:color="auto" w:fill="FFFFFF"/>
        </w:rPr>
        <w:t>第六章    处罚机制</w:t>
      </w:r>
    </w:p>
    <w:p w14:paraId="004DA0F7">
      <w:pPr>
        <w:pStyle w:val="4"/>
        <w:widowControl/>
        <w:shd w:val="clear" w:color="auto" w:fill="FFFFFF"/>
        <w:spacing w:beforeAutospacing="0" w:afterAutospacing="0" w:line="560" w:lineRule="exact"/>
        <w:ind w:firstLine="640" w:firstLineChars="200"/>
        <w:jc w:val="both"/>
        <w:textAlignment w:val="center"/>
        <w:rPr>
          <w:rFonts w:hint="eastAsia" w:ascii="仿宋_GB2312" w:hAnsi="仿宋" w:eastAsia="仿宋_GB2312" w:cs="仿宋"/>
          <w:sz w:val="32"/>
          <w:szCs w:val="32"/>
          <w:shd w:val="clear" w:color="auto" w:fill="FFFFFF"/>
        </w:rPr>
      </w:pPr>
      <w:r>
        <w:rPr>
          <w:rFonts w:hint="eastAsia" w:ascii="楷体_GB2312" w:hAnsi="仿宋" w:eastAsia="楷体_GB2312" w:cs="仿宋"/>
          <w:sz w:val="32"/>
          <w:szCs w:val="32"/>
          <w:shd w:val="clear" w:color="auto" w:fill="FFFFFF"/>
        </w:rPr>
        <w:t>第十</w:t>
      </w:r>
      <w:r>
        <w:rPr>
          <w:rFonts w:hint="eastAsia" w:ascii="楷体_GB2312" w:hAnsi="仿宋" w:eastAsia="楷体_GB2312" w:cs="仿宋"/>
          <w:sz w:val="32"/>
          <w:szCs w:val="32"/>
          <w:shd w:val="clear" w:color="auto" w:fill="FFFFFF"/>
          <w:lang w:val="en-US" w:eastAsia="zh-CN"/>
        </w:rPr>
        <w:t>五</w:t>
      </w:r>
      <w:r>
        <w:rPr>
          <w:rFonts w:hint="eastAsia" w:ascii="楷体_GB2312" w:hAnsi="仿宋" w:eastAsia="楷体_GB2312" w:cs="仿宋"/>
          <w:sz w:val="32"/>
          <w:szCs w:val="32"/>
          <w:shd w:val="clear" w:color="auto" w:fill="FFFFFF"/>
        </w:rPr>
        <w:t>条</w:t>
      </w:r>
      <w:r>
        <w:rPr>
          <w:rFonts w:hint="eastAsia" w:ascii="仿宋_GB2312" w:hAnsi="仿宋" w:eastAsia="仿宋_GB2312" w:cs="仿宋"/>
          <w:sz w:val="32"/>
          <w:szCs w:val="32"/>
          <w:shd w:val="clear" w:color="auto" w:fill="FFFFFF"/>
        </w:rPr>
        <w:t xml:space="preserve"> 监理单位派出的监理员应经常在工地巡查，仔细核对实际施工与设计图纸是否相符，并实行每日打卡制度（打卡方式由学校现场管理人员确定），在隐蔽工程及分项工程完工时均需到场验收。若被发现违反以上规定的情况，校方有权按合同予以处罚。</w:t>
      </w:r>
    </w:p>
    <w:p w14:paraId="1686A3EF">
      <w:pPr>
        <w:pStyle w:val="4"/>
        <w:widowControl/>
        <w:shd w:val="clear" w:color="auto" w:fill="FFFFFF"/>
        <w:spacing w:beforeAutospacing="0" w:afterAutospacing="0" w:line="560" w:lineRule="exact"/>
        <w:ind w:firstLine="640" w:firstLineChars="200"/>
        <w:jc w:val="both"/>
        <w:textAlignment w:val="center"/>
        <w:rPr>
          <w:rFonts w:hint="eastAsia" w:ascii="仿宋_GB2312" w:hAnsi="仿宋" w:eastAsia="仿宋_GB2312" w:cs="仿宋"/>
          <w:sz w:val="32"/>
          <w:szCs w:val="32"/>
          <w:shd w:val="clear" w:color="auto" w:fill="FFFFFF"/>
        </w:rPr>
      </w:pPr>
      <w:r>
        <w:rPr>
          <w:rFonts w:hint="eastAsia" w:ascii="楷体_GB2312" w:hAnsi="仿宋" w:eastAsia="楷体_GB2312" w:cs="仿宋"/>
          <w:sz w:val="32"/>
          <w:szCs w:val="32"/>
          <w:shd w:val="clear" w:color="auto" w:fill="FFFFFF"/>
        </w:rPr>
        <w:t>第十</w:t>
      </w:r>
      <w:r>
        <w:rPr>
          <w:rFonts w:hint="eastAsia" w:ascii="楷体_GB2312" w:hAnsi="仿宋" w:eastAsia="楷体_GB2312" w:cs="仿宋"/>
          <w:sz w:val="32"/>
          <w:szCs w:val="32"/>
          <w:shd w:val="clear" w:color="auto" w:fill="FFFFFF"/>
          <w:lang w:val="en-US" w:eastAsia="zh-CN"/>
        </w:rPr>
        <w:t>六</w:t>
      </w:r>
      <w:r>
        <w:rPr>
          <w:rFonts w:hint="eastAsia" w:ascii="楷体_GB2312" w:hAnsi="仿宋" w:eastAsia="楷体_GB2312" w:cs="仿宋"/>
          <w:sz w:val="32"/>
          <w:szCs w:val="32"/>
          <w:shd w:val="clear" w:color="auto" w:fill="FFFFFF"/>
        </w:rPr>
        <w:t>条</w:t>
      </w:r>
      <w:r>
        <w:rPr>
          <w:rFonts w:hint="eastAsia" w:ascii="仿宋_GB2312" w:hAnsi="仿宋" w:eastAsia="仿宋_GB2312" w:cs="仿宋"/>
          <w:sz w:val="32"/>
          <w:szCs w:val="32"/>
          <w:shd w:val="clear" w:color="auto" w:fill="FFFFFF"/>
        </w:rPr>
        <w:t xml:space="preserve"> 监理单位应督促施工单位及时进行结算，并对施工单位提交的工程结算资料进行审核。</w:t>
      </w:r>
    </w:p>
    <w:p w14:paraId="7742BD45">
      <w:pPr>
        <w:pStyle w:val="4"/>
        <w:widowControl/>
        <w:shd w:val="clear" w:color="auto" w:fill="FFFFFF"/>
        <w:spacing w:beforeAutospacing="0" w:afterAutospacing="0" w:line="560" w:lineRule="exact"/>
        <w:ind w:firstLine="640" w:firstLineChars="200"/>
        <w:jc w:val="both"/>
        <w:textAlignment w:val="center"/>
        <w:rPr>
          <w:rFonts w:hint="eastAsia" w:ascii="仿宋_GB2312" w:hAnsi="仿宋" w:eastAsia="仿宋_GB2312" w:cs="仿宋"/>
          <w:sz w:val="32"/>
          <w:szCs w:val="32"/>
          <w:shd w:val="clear" w:color="auto" w:fill="FFFFFF"/>
        </w:rPr>
      </w:pPr>
      <w:r>
        <w:rPr>
          <w:rFonts w:hint="eastAsia" w:ascii="楷体_GB2312" w:hAnsi="仿宋" w:eastAsia="楷体_GB2312" w:cs="仿宋"/>
          <w:sz w:val="32"/>
          <w:szCs w:val="32"/>
          <w:shd w:val="clear" w:color="auto" w:fill="FFFFFF"/>
        </w:rPr>
        <w:t>第十</w:t>
      </w:r>
      <w:r>
        <w:rPr>
          <w:rFonts w:hint="eastAsia" w:ascii="楷体_GB2312" w:hAnsi="仿宋" w:eastAsia="楷体_GB2312" w:cs="仿宋"/>
          <w:sz w:val="32"/>
          <w:szCs w:val="32"/>
          <w:shd w:val="clear" w:color="auto" w:fill="FFFFFF"/>
          <w:lang w:val="en-US" w:eastAsia="zh-CN"/>
        </w:rPr>
        <w:t>七</w:t>
      </w:r>
      <w:r>
        <w:rPr>
          <w:rFonts w:hint="eastAsia" w:ascii="楷体_GB2312" w:hAnsi="仿宋" w:eastAsia="楷体_GB2312" w:cs="仿宋"/>
          <w:sz w:val="32"/>
          <w:szCs w:val="32"/>
          <w:shd w:val="clear" w:color="auto" w:fill="FFFFFF"/>
        </w:rPr>
        <w:t>条</w:t>
      </w:r>
      <w:r>
        <w:rPr>
          <w:rFonts w:hint="eastAsia" w:ascii="仿宋_GB2312" w:hAnsi="仿宋" w:eastAsia="仿宋_GB2312" w:cs="仿宋"/>
          <w:sz w:val="32"/>
          <w:szCs w:val="32"/>
          <w:shd w:val="clear" w:color="auto" w:fill="FFFFFF"/>
        </w:rPr>
        <w:t xml:space="preserve"> 最高累计罚金不超过30%监理费。</w:t>
      </w:r>
    </w:p>
    <w:p w14:paraId="5B27BE1B">
      <w:pPr>
        <w:pStyle w:val="4"/>
        <w:widowControl/>
        <w:shd w:val="clear" w:color="auto" w:fill="FFFFFF"/>
        <w:spacing w:beforeLines="50" w:beforeAutospacing="0" w:afterLines="50" w:afterAutospacing="0" w:line="560" w:lineRule="exact"/>
        <w:ind w:firstLine="640" w:firstLineChars="200"/>
        <w:jc w:val="center"/>
        <w:textAlignment w:val="center"/>
        <w:rPr>
          <w:rFonts w:hint="eastAsia" w:ascii="黑体" w:hAnsi="黑体" w:eastAsia="黑体" w:cs="宋体"/>
          <w:b/>
          <w:sz w:val="32"/>
          <w:szCs w:val="32"/>
        </w:rPr>
      </w:pPr>
      <w:r>
        <w:rPr>
          <w:rStyle w:val="7"/>
          <w:rFonts w:hint="eastAsia" w:ascii="黑体" w:hAnsi="黑体" w:eastAsia="黑体" w:cs="黑体"/>
          <w:b w:val="0"/>
          <w:bCs/>
          <w:sz w:val="32"/>
          <w:szCs w:val="32"/>
          <w:shd w:val="clear" w:color="auto" w:fill="FFFFFF"/>
        </w:rPr>
        <w:t>第六章</w:t>
      </w:r>
      <w:r>
        <w:rPr>
          <w:rStyle w:val="7"/>
          <w:rFonts w:hint="eastAsia" w:ascii="黑体" w:hAnsi="宋体" w:eastAsia="黑体" w:cs="黑体"/>
          <w:b w:val="0"/>
          <w:bCs/>
          <w:sz w:val="32"/>
          <w:szCs w:val="32"/>
          <w:shd w:val="clear" w:color="auto" w:fill="FFFFFF"/>
        </w:rPr>
        <w:t>  </w:t>
      </w:r>
      <w:r>
        <w:rPr>
          <w:rStyle w:val="7"/>
          <w:rFonts w:hint="eastAsia" w:ascii="黑体" w:hAnsi="黑体" w:eastAsia="黑体" w:cs="黑体"/>
          <w:b w:val="0"/>
          <w:bCs/>
          <w:sz w:val="32"/>
          <w:szCs w:val="32"/>
          <w:shd w:val="clear" w:color="auto" w:fill="FFFFFF"/>
        </w:rPr>
        <w:t>附则</w:t>
      </w:r>
    </w:p>
    <w:p w14:paraId="58047E2C">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第十</w:t>
      </w:r>
      <w:r>
        <w:rPr>
          <w:rFonts w:hint="eastAsia" w:ascii="楷体_GB2312" w:hAnsi="楷体" w:eastAsia="楷体_GB2312" w:cs="楷体"/>
          <w:sz w:val="32"/>
          <w:szCs w:val="32"/>
          <w:shd w:val="clear" w:color="auto" w:fill="FFFFFF"/>
          <w:lang w:val="en-US" w:eastAsia="zh-CN"/>
        </w:rPr>
        <w:t>八</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本办法由基建处负责解释。</w:t>
      </w:r>
    </w:p>
    <w:p w14:paraId="70FF1179">
      <w:pPr>
        <w:pStyle w:val="4"/>
        <w:widowControl/>
        <w:shd w:val="clear" w:color="auto" w:fill="FFFFFF"/>
        <w:spacing w:beforeAutospacing="0" w:afterAutospacing="0" w:line="560" w:lineRule="exact"/>
        <w:ind w:firstLine="640" w:firstLineChars="200"/>
        <w:textAlignment w:val="center"/>
        <w:rPr>
          <w:rFonts w:hint="eastAsia" w:ascii="仿宋_GB2312" w:hAnsi="宋体" w:eastAsia="仿宋_GB2312" w:cs="宋体"/>
          <w:sz w:val="32"/>
          <w:szCs w:val="32"/>
        </w:rPr>
      </w:pPr>
      <w:r>
        <w:rPr>
          <w:rFonts w:hint="eastAsia" w:ascii="楷体_GB2312" w:hAnsi="楷体" w:eastAsia="楷体_GB2312" w:cs="楷体"/>
          <w:sz w:val="32"/>
          <w:szCs w:val="32"/>
          <w:shd w:val="clear" w:color="auto" w:fill="FFFFFF"/>
        </w:rPr>
        <w:t>第十</w:t>
      </w:r>
      <w:r>
        <w:rPr>
          <w:rFonts w:hint="eastAsia" w:ascii="楷体_GB2312" w:hAnsi="楷体" w:eastAsia="楷体_GB2312" w:cs="楷体"/>
          <w:sz w:val="32"/>
          <w:szCs w:val="32"/>
          <w:shd w:val="clear" w:color="auto" w:fill="FFFFFF"/>
          <w:lang w:val="en-US" w:eastAsia="zh-CN"/>
        </w:rPr>
        <w:t>九</w:t>
      </w:r>
      <w:r>
        <w:rPr>
          <w:rFonts w:hint="eastAsia" w:ascii="楷体_GB2312" w:hAnsi="楷体" w:eastAsia="楷体_GB2312" w:cs="楷体"/>
          <w:sz w:val="32"/>
          <w:szCs w:val="32"/>
          <w:shd w:val="clear" w:color="auto" w:fill="FFFFFF"/>
        </w:rPr>
        <w:t>条</w:t>
      </w:r>
      <w:r>
        <w:rPr>
          <w:rFonts w:hint="eastAsia" w:ascii="仿宋_GB2312" w:hAnsi="仿宋" w:eastAsia="仿宋_GB2312" w:cs="仿宋"/>
          <w:sz w:val="32"/>
          <w:szCs w:val="32"/>
          <w:shd w:val="clear" w:color="auto" w:fill="FFFFFF"/>
        </w:rPr>
        <w:t> 本办法自公布之日起施行。</w:t>
      </w:r>
    </w:p>
    <w:p w14:paraId="38E5E73C">
      <w:pPr>
        <w:spacing w:line="560" w:lineRule="exact"/>
        <w:ind w:firstLine="640" w:firstLineChars="200"/>
        <w:rPr>
          <w:rFonts w:hint="eastAsia" w:ascii="仿宋_GB2312" w:eastAsia="仿宋_GB2312"/>
          <w:sz w:val="32"/>
          <w:szCs w:val="32"/>
        </w:rPr>
      </w:pPr>
    </w:p>
    <w:p w14:paraId="5145B42B">
      <w:pPr>
        <w:spacing w:line="560" w:lineRule="exact"/>
        <w:ind w:firstLine="640" w:firstLineChars="200"/>
        <w:rPr>
          <w:rFonts w:hint="eastAsia" w:ascii="仿宋_GB2312" w:eastAsia="仿宋_GB2312"/>
          <w:sz w:val="32"/>
          <w:szCs w:val="32"/>
        </w:rPr>
      </w:pPr>
    </w:p>
    <w:p w14:paraId="2D5747E8">
      <w:pPr>
        <w:spacing w:line="560" w:lineRule="exact"/>
        <w:ind w:firstLine="640" w:firstLineChars="200"/>
        <w:rPr>
          <w:rFonts w:hint="eastAsia" w:ascii="仿宋_GB2312" w:eastAsia="仿宋_GB2312"/>
          <w:sz w:val="32"/>
          <w:szCs w:val="32"/>
        </w:rPr>
      </w:pPr>
    </w:p>
    <w:p w14:paraId="7A168507">
      <w:pPr>
        <w:spacing w:line="560" w:lineRule="exact"/>
        <w:ind w:firstLine="640" w:firstLineChars="200"/>
        <w:rPr>
          <w:rFonts w:hint="eastAsia" w:ascii="仿宋_GB2312" w:eastAsia="仿宋_GB2312"/>
          <w:sz w:val="32"/>
          <w:szCs w:val="32"/>
        </w:rPr>
      </w:pPr>
    </w:p>
    <w:p w14:paraId="0354400B">
      <w:pPr>
        <w:spacing w:line="560" w:lineRule="exact"/>
        <w:ind w:firstLine="640" w:firstLineChars="200"/>
        <w:rPr>
          <w:rFonts w:hint="eastAsia" w:ascii="仿宋_GB2312" w:eastAsia="仿宋_GB2312"/>
          <w:sz w:val="32"/>
          <w:szCs w:val="32"/>
        </w:rPr>
      </w:pPr>
    </w:p>
    <w:p w14:paraId="03779190">
      <w:pPr>
        <w:spacing w:line="560" w:lineRule="exact"/>
        <w:ind w:firstLine="640" w:firstLineChars="200"/>
        <w:rPr>
          <w:rFonts w:hint="eastAsia" w:ascii="仿宋_GB2312" w:eastAsia="仿宋_GB2312"/>
          <w:sz w:val="32"/>
          <w:szCs w:val="32"/>
        </w:rPr>
      </w:pPr>
    </w:p>
    <w:p w14:paraId="205AC186">
      <w:pPr>
        <w:rPr>
          <w:rFonts w:hint="eastAsia" w:ascii="黑体" w:hAnsi="黑体" w:eastAsia="黑体" w:cs="黑体"/>
          <w:b w:val="0"/>
          <w:bCs/>
          <w:color w:val="0D0D0D"/>
          <w:sz w:val="28"/>
          <w:szCs w:val="28"/>
        </w:rPr>
      </w:pPr>
      <w:r>
        <w:rPr>
          <w:rFonts w:hint="eastAsia" w:ascii="黑体" w:hAnsi="黑体" w:eastAsia="黑体" w:cs="黑体"/>
          <w:b w:val="0"/>
          <w:bCs/>
          <w:color w:val="0D0D0D"/>
          <w:sz w:val="28"/>
          <w:szCs w:val="28"/>
        </w:rPr>
        <w:t>附件1：</w:t>
      </w:r>
    </w:p>
    <w:p w14:paraId="7D0182CF">
      <w:pPr>
        <w:jc w:val="center"/>
        <w:rPr>
          <w:rFonts w:hint="eastAsia" w:ascii="黑体" w:hAnsi="黑体" w:eastAsia="黑体" w:cs="黑体"/>
          <w:b w:val="0"/>
          <w:bCs/>
          <w:color w:val="0D0D0D"/>
          <w:sz w:val="28"/>
          <w:szCs w:val="28"/>
        </w:rPr>
      </w:pPr>
      <w:r>
        <w:rPr>
          <w:rFonts w:hint="eastAsia" w:ascii="黑体" w:hAnsi="黑体" w:eastAsia="黑体" w:cs="黑体"/>
          <w:b w:val="0"/>
          <w:bCs/>
          <w:color w:val="0D0D0D"/>
          <w:sz w:val="28"/>
          <w:szCs w:val="28"/>
        </w:rPr>
        <w:t>闽南师范大学小规模工程设计单位库项目考核评分表</w:t>
      </w:r>
    </w:p>
    <w:p w14:paraId="185CBBED">
      <w:pPr>
        <w:jc w:val="left"/>
        <w:rPr>
          <w:rFonts w:ascii="宋体" w:hAnsi="宋体"/>
          <w:color w:val="0D0D0D"/>
          <w:szCs w:val="21"/>
        </w:rPr>
      </w:pPr>
      <w:r>
        <w:rPr>
          <w:rFonts w:hint="eastAsia" w:ascii="宋体" w:hAnsi="宋体"/>
          <w:color w:val="0D0D0D"/>
          <w:szCs w:val="21"/>
        </w:rPr>
        <w:t xml:space="preserve">设计单位：                             项目名称：                              </w:t>
      </w:r>
      <w:r>
        <w:rPr>
          <w:rFonts w:hint="eastAsia"/>
          <w:color w:val="0D0D0D"/>
          <w:szCs w:val="21"/>
        </w:rPr>
        <w:t xml:space="preserve">            </w:t>
      </w:r>
    </w:p>
    <w:tbl>
      <w:tblPr>
        <w:tblStyle w:val="5"/>
        <w:tblW w:w="10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280"/>
        <w:gridCol w:w="5525"/>
        <w:gridCol w:w="856"/>
        <w:gridCol w:w="1892"/>
      </w:tblGrid>
      <w:tr w14:paraId="01D8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4" w:hRule="atLeast"/>
          <w:jc w:val="center"/>
        </w:trPr>
        <w:tc>
          <w:tcPr>
            <w:tcW w:w="680" w:type="dxa"/>
            <w:vAlign w:val="center"/>
          </w:tcPr>
          <w:p w14:paraId="329208FA">
            <w:pPr>
              <w:jc w:val="center"/>
              <w:rPr>
                <w:rFonts w:ascii="宋体" w:hAnsi="宋体"/>
                <w:b/>
                <w:color w:val="0D0D0D"/>
                <w:szCs w:val="21"/>
              </w:rPr>
            </w:pPr>
            <w:r>
              <w:rPr>
                <w:rFonts w:hint="eastAsia" w:ascii="宋体" w:hAnsi="宋体"/>
                <w:b/>
                <w:color w:val="0D0D0D"/>
                <w:szCs w:val="21"/>
              </w:rPr>
              <w:t>序号</w:t>
            </w:r>
          </w:p>
        </w:tc>
        <w:tc>
          <w:tcPr>
            <w:tcW w:w="1280" w:type="dxa"/>
            <w:vAlign w:val="center"/>
          </w:tcPr>
          <w:p w14:paraId="5C961753">
            <w:pPr>
              <w:jc w:val="center"/>
              <w:rPr>
                <w:rFonts w:ascii="宋体" w:hAnsi="宋体"/>
                <w:b/>
                <w:color w:val="0D0D0D"/>
                <w:szCs w:val="21"/>
              </w:rPr>
            </w:pPr>
            <w:r>
              <w:rPr>
                <w:rFonts w:hint="eastAsia" w:ascii="宋体" w:hAnsi="宋体"/>
                <w:b/>
                <w:color w:val="0D0D0D"/>
                <w:szCs w:val="21"/>
              </w:rPr>
              <w:t>项目</w:t>
            </w:r>
          </w:p>
        </w:tc>
        <w:tc>
          <w:tcPr>
            <w:tcW w:w="5525" w:type="dxa"/>
          </w:tcPr>
          <w:p w14:paraId="6DE8FAB9">
            <w:pPr>
              <w:jc w:val="center"/>
              <w:rPr>
                <w:rFonts w:ascii="宋体" w:hAnsi="宋体"/>
                <w:b/>
                <w:color w:val="0D0D0D"/>
                <w:szCs w:val="21"/>
              </w:rPr>
            </w:pPr>
            <w:r>
              <w:rPr>
                <w:rFonts w:hint="eastAsia" w:ascii="宋体" w:hAnsi="宋体"/>
                <w:b/>
                <w:color w:val="0D0D0D"/>
                <w:szCs w:val="21"/>
              </w:rPr>
              <w:t>评分标准</w:t>
            </w:r>
          </w:p>
        </w:tc>
        <w:tc>
          <w:tcPr>
            <w:tcW w:w="856" w:type="dxa"/>
          </w:tcPr>
          <w:p w14:paraId="0AA03E9A">
            <w:pPr>
              <w:jc w:val="center"/>
              <w:rPr>
                <w:rFonts w:ascii="宋体" w:hAnsi="宋体"/>
                <w:b/>
                <w:color w:val="0D0D0D"/>
                <w:szCs w:val="21"/>
              </w:rPr>
            </w:pPr>
            <w:r>
              <w:rPr>
                <w:rFonts w:hint="eastAsia" w:ascii="宋体" w:hAnsi="宋体"/>
                <w:b/>
                <w:color w:val="0D0D0D"/>
                <w:szCs w:val="21"/>
              </w:rPr>
              <w:t>评分</w:t>
            </w:r>
          </w:p>
        </w:tc>
        <w:tc>
          <w:tcPr>
            <w:tcW w:w="1892" w:type="dxa"/>
          </w:tcPr>
          <w:p w14:paraId="23CB81D3">
            <w:pPr>
              <w:jc w:val="center"/>
              <w:rPr>
                <w:rFonts w:ascii="宋体" w:hAnsi="宋体"/>
                <w:b/>
                <w:color w:val="0D0D0D"/>
                <w:szCs w:val="21"/>
              </w:rPr>
            </w:pPr>
            <w:r>
              <w:rPr>
                <w:rFonts w:hint="eastAsia" w:ascii="宋体" w:hAnsi="宋体"/>
                <w:b/>
                <w:color w:val="0D0D0D"/>
                <w:szCs w:val="21"/>
              </w:rPr>
              <w:t>原因备注</w:t>
            </w:r>
          </w:p>
        </w:tc>
      </w:tr>
      <w:tr w14:paraId="317D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80" w:type="dxa"/>
            <w:vAlign w:val="center"/>
          </w:tcPr>
          <w:p w14:paraId="0A4D1CF2">
            <w:pPr>
              <w:jc w:val="center"/>
              <w:rPr>
                <w:rFonts w:ascii="宋体" w:hAnsi="宋体"/>
                <w:color w:val="0D0D0D"/>
                <w:szCs w:val="21"/>
              </w:rPr>
            </w:pPr>
            <w:r>
              <w:rPr>
                <w:rFonts w:hint="eastAsia" w:ascii="宋体" w:hAnsi="宋体"/>
                <w:color w:val="0D0D0D"/>
                <w:szCs w:val="21"/>
              </w:rPr>
              <w:t>1</w:t>
            </w:r>
          </w:p>
        </w:tc>
        <w:tc>
          <w:tcPr>
            <w:tcW w:w="1280" w:type="dxa"/>
            <w:vAlign w:val="center"/>
          </w:tcPr>
          <w:p w14:paraId="7499AC8A">
            <w:pPr>
              <w:jc w:val="center"/>
              <w:rPr>
                <w:rFonts w:ascii="宋体" w:hAnsi="宋体"/>
                <w:color w:val="0D0D0D"/>
                <w:szCs w:val="21"/>
              </w:rPr>
            </w:pPr>
            <w:r>
              <w:rPr>
                <w:rFonts w:hint="eastAsia" w:ascii="宋体" w:hAnsi="宋体"/>
                <w:color w:val="0D0D0D"/>
                <w:szCs w:val="21"/>
              </w:rPr>
              <w:t>基础分（80）</w:t>
            </w:r>
          </w:p>
        </w:tc>
        <w:tc>
          <w:tcPr>
            <w:tcW w:w="5525" w:type="dxa"/>
          </w:tcPr>
          <w:p w14:paraId="1F15DF23">
            <w:pPr>
              <w:jc w:val="center"/>
              <w:rPr>
                <w:rFonts w:ascii="宋体" w:hAnsi="宋体"/>
                <w:color w:val="0D0D0D"/>
                <w:szCs w:val="21"/>
              </w:rPr>
            </w:pPr>
            <w:r>
              <w:rPr>
                <w:rFonts w:hint="eastAsia" w:ascii="宋体" w:hAnsi="宋体"/>
                <w:color w:val="0D0D0D"/>
                <w:szCs w:val="21"/>
              </w:rPr>
              <w:t>80</w:t>
            </w:r>
          </w:p>
        </w:tc>
        <w:tc>
          <w:tcPr>
            <w:tcW w:w="856" w:type="dxa"/>
          </w:tcPr>
          <w:p w14:paraId="0F2BBF89">
            <w:pPr>
              <w:jc w:val="center"/>
              <w:rPr>
                <w:rFonts w:ascii="宋体" w:hAnsi="宋体"/>
                <w:color w:val="0D0D0D"/>
                <w:szCs w:val="21"/>
              </w:rPr>
            </w:pPr>
            <w:r>
              <w:rPr>
                <w:rFonts w:hint="eastAsia" w:ascii="宋体" w:hAnsi="宋体"/>
                <w:color w:val="0D0D0D"/>
                <w:szCs w:val="21"/>
              </w:rPr>
              <w:t>80</w:t>
            </w:r>
          </w:p>
        </w:tc>
        <w:tc>
          <w:tcPr>
            <w:tcW w:w="1892" w:type="dxa"/>
            <w:tcBorders>
              <w:tl2br w:val="single" w:color="auto" w:sz="4" w:space="0"/>
            </w:tcBorders>
          </w:tcPr>
          <w:p w14:paraId="7820735B">
            <w:pPr>
              <w:jc w:val="center"/>
              <w:rPr>
                <w:rFonts w:ascii="宋体" w:hAnsi="宋体"/>
                <w:color w:val="0D0D0D"/>
                <w:szCs w:val="21"/>
              </w:rPr>
            </w:pPr>
          </w:p>
        </w:tc>
      </w:tr>
      <w:tr w14:paraId="6568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 w:hRule="atLeast"/>
          <w:jc w:val="center"/>
        </w:trPr>
        <w:tc>
          <w:tcPr>
            <w:tcW w:w="680" w:type="dxa"/>
            <w:vAlign w:val="center"/>
          </w:tcPr>
          <w:p w14:paraId="5CA6671B">
            <w:pPr>
              <w:jc w:val="center"/>
              <w:rPr>
                <w:rFonts w:ascii="宋体" w:hAnsi="宋体"/>
                <w:color w:val="0D0D0D"/>
                <w:szCs w:val="21"/>
              </w:rPr>
            </w:pPr>
            <w:r>
              <w:rPr>
                <w:rFonts w:hint="eastAsia" w:ascii="宋体" w:hAnsi="宋体"/>
                <w:color w:val="0D0D0D"/>
                <w:szCs w:val="21"/>
              </w:rPr>
              <w:t>2</w:t>
            </w:r>
          </w:p>
        </w:tc>
        <w:tc>
          <w:tcPr>
            <w:tcW w:w="1280" w:type="dxa"/>
            <w:vAlign w:val="center"/>
          </w:tcPr>
          <w:p w14:paraId="5FFF47CF">
            <w:pPr>
              <w:jc w:val="center"/>
              <w:rPr>
                <w:rFonts w:ascii="宋体" w:hAnsi="宋体"/>
                <w:color w:val="0D0D0D"/>
                <w:szCs w:val="21"/>
              </w:rPr>
            </w:pPr>
            <w:r>
              <w:rPr>
                <w:rFonts w:hint="eastAsia" w:ascii="宋体" w:hAnsi="宋体"/>
                <w:color w:val="0D0D0D"/>
                <w:szCs w:val="21"/>
              </w:rPr>
              <w:t>设计</w:t>
            </w:r>
          </w:p>
          <w:p w14:paraId="2D84ADA5">
            <w:pPr>
              <w:jc w:val="center"/>
              <w:rPr>
                <w:rFonts w:ascii="宋体" w:hAnsi="宋体"/>
                <w:color w:val="0D0D0D"/>
                <w:szCs w:val="21"/>
              </w:rPr>
            </w:pPr>
            <w:r>
              <w:rPr>
                <w:rFonts w:hint="eastAsia" w:ascii="宋体" w:hAnsi="宋体"/>
                <w:color w:val="0D0D0D"/>
                <w:szCs w:val="21"/>
              </w:rPr>
              <w:t>工期</w:t>
            </w:r>
          </w:p>
          <w:p w14:paraId="69C79717">
            <w:pPr>
              <w:jc w:val="center"/>
              <w:rPr>
                <w:rFonts w:ascii="宋体" w:hAnsi="宋体"/>
                <w:color w:val="0D0D0D"/>
                <w:szCs w:val="21"/>
              </w:rPr>
            </w:pPr>
            <w:r>
              <w:rPr>
                <w:rFonts w:hint="eastAsia" w:ascii="宋体" w:hAnsi="宋体"/>
                <w:color w:val="0D0D0D"/>
                <w:szCs w:val="21"/>
              </w:rPr>
              <w:t>（4分）</w:t>
            </w:r>
          </w:p>
        </w:tc>
        <w:tc>
          <w:tcPr>
            <w:tcW w:w="5525" w:type="dxa"/>
          </w:tcPr>
          <w:p w14:paraId="5AEAE36F">
            <w:pPr>
              <w:jc w:val="left"/>
              <w:rPr>
                <w:rFonts w:ascii="宋体" w:hAnsi="宋体"/>
                <w:color w:val="0D0D0D"/>
                <w:szCs w:val="21"/>
              </w:rPr>
            </w:pPr>
            <w:r>
              <w:rPr>
                <w:rFonts w:hint="eastAsia" w:ascii="宋体" w:hAnsi="宋体"/>
                <w:color w:val="0D0D0D"/>
                <w:szCs w:val="21"/>
              </w:rPr>
              <w:t>1.工期提前完成一天加1分，最高加4分；</w:t>
            </w:r>
          </w:p>
          <w:p w14:paraId="6F157DC1">
            <w:pPr>
              <w:jc w:val="left"/>
              <w:rPr>
                <w:rFonts w:ascii="宋体" w:hAnsi="宋体"/>
                <w:color w:val="0D0D0D"/>
                <w:szCs w:val="21"/>
              </w:rPr>
            </w:pPr>
            <w:r>
              <w:rPr>
                <w:rFonts w:hint="eastAsia" w:ascii="宋体" w:hAnsi="宋体"/>
                <w:color w:val="0D0D0D"/>
                <w:szCs w:val="21"/>
              </w:rPr>
              <w:t>2.工期因设计方原因延误一天扣1分，延误四天以上扣4分。</w:t>
            </w:r>
          </w:p>
        </w:tc>
        <w:tc>
          <w:tcPr>
            <w:tcW w:w="856" w:type="dxa"/>
          </w:tcPr>
          <w:p w14:paraId="4B46998E">
            <w:pPr>
              <w:jc w:val="left"/>
              <w:rPr>
                <w:rFonts w:ascii="宋体" w:hAnsi="宋体"/>
                <w:color w:val="0D0D0D"/>
                <w:szCs w:val="21"/>
              </w:rPr>
            </w:pPr>
          </w:p>
        </w:tc>
        <w:tc>
          <w:tcPr>
            <w:tcW w:w="1892" w:type="dxa"/>
          </w:tcPr>
          <w:p w14:paraId="6328387A">
            <w:pPr>
              <w:jc w:val="left"/>
              <w:rPr>
                <w:rFonts w:ascii="宋体" w:hAnsi="宋体"/>
                <w:color w:val="0D0D0D"/>
                <w:szCs w:val="21"/>
              </w:rPr>
            </w:pPr>
          </w:p>
        </w:tc>
      </w:tr>
      <w:tr w14:paraId="5ECC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0" w:hRule="atLeast"/>
          <w:jc w:val="center"/>
        </w:trPr>
        <w:tc>
          <w:tcPr>
            <w:tcW w:w="680" w:type="dxa"/>
            <w:vAlign w:val="center"/>
          </w:tcPr>
          <w:p w14:paraId="28C580A0">
            <w:pPr>
              <w:jc w:val="center"/>
              <w:rPr>
                <w:rFonts w:ascii="宋体" w:hAnsi="宋体"/>
                <w:color w:val="0D0D0D"/>
                <w:szCs w:val="21"/>
              </w:rPr>
            </w:pPr>
            <w:r>
              <w:rPr>
                <w:rFonts w:hint="eastAsia" w:ascii="宋体" w:hAnsi="宋体"/>
                <w:color w:val="0D0D0D"/>
                <w:szCs w:val="21"/>
              </w:rPr>
              <w:t>3</w:t>
            </w:r>
          </w:p>
        </w:tc>
        <w:tc>
          <w:tcPr>
            <w:tcW w:w="1280" w:type="dxa"/>
            <w:vAlign w:val="center"/>
          </w:tcPr>
          <w:p w14:paraId="1D7A0F50">
            <w:pPr>
              <w:jc w:val="center"/>
              <w:rPr>
                <w:rFonts w:ascii="宋体" w:hAnsi="宋体"/>
                <w:color w:val="0D0D0D"/>
                <w:szCs w:val="21"/>
              </w:rPr>
            </w:pPr>
            <w:r>
              <w:rPr>
                <w:rFonts w:hint="eastAsia" w:ascii="宋体" w:hAnsi="宋体"/>
                <w:color w:val="0D0D0D"/>
                <w:szCs w:val="21"/>
              </w:rPr>
              <w:t>设计</w:t>
            </w:r>
          </w:p>
          <w:p w14:paraId="27B9F0FB">
            <w:pPr>
              <w:jc w:val="center"/>
              <w:rPr>
                <w:rFonts w:ascii="宋体" w:hAnsi="宋体"/>
                <w:color w:val="0D0D0D"/>
                <w:szCs w:val="21"/>
              </w:rPr>
            </w:pPr>
            <w:r>
              <w:rPr>
                <w:rFonts w:hint="eastAsia" w:ascii="宋体" w:hAnsi="宋体"/>
                <w:color w:val="0D0D0D"/>
                <w:szCs w:val="21"/>
              </w:rPr>
              <w:t>过程</w:t>
            </w:r>
          </w:p>
          <w:p w14:paraId="53AAD015">
            <w:pPr>
              <w:jc w:val="center"/>
              <w:rPr>
                <w:rFonts w:ascii="宋体" w:hAnsi="宋体"/>
                <w:color w:val="0D0D0D"/>
                <w:szCs w:val="21"/>
              </w:rPr>
            </w:pPr>
            <w:r>
              <w:rPr>
                <w:rFonts w:hint="eastAsia" w:ascii="宋体" w:hAnsi="宋体"/>
                <w:color w:val="0D0D0D"/>
                <w:szCs w:val="21"/>
              </w:rPr>
              <w:t>（6分）</w:t>
            </w:r>
          </w:p>
        </w:tc>
        <w:tc>
          <w:tcPr>
            <w:tcW w:w="5525" w:type="dxa"/>
          </w:tcPr>
          <w:p w14:paraId="3459A575">
            <w:pPr>
              <w:jc w:val="left"/>
              <w:rPr>
                <w:rFonts w:ascii="宋体" w:hAnsi="宋体"/>
                <w:color w:val="0D0D0D"/>
                <w:szCs w:val="21"/>
              </w:rPr>
            </w:pPr>
            <w:r>
              <w:rPr>
                <w:rFonts w:hint="eastAsia" w:ascii="宋体" w:hAnsi="宋体"/>
                <w:color w:val="0D0D0D"/>
                <w:szCs w:val="21"/>
              </w:rPr>
              <w:t>1.设计人员积极到项目现场核实场地现状的加2分；</w:t>
            </w:r>
          </w:p>
          <w:p w14:paraId="4B183A9A">
            <w:pPr>
              <w:jc w:val="left"/>
              <w:rPr>
                <w:rFonts w:ascii="宋体" w:hAnsi="宋体"/>
                <w:color w:val="0D0D0D"/>
                <w:szCs w:val="21"/>
              </w:rPr>
            </w:pPr>
            <w:r>
              <w:rPr>
                <w:rFonts w:ascii="宋体" w:hAnsi="宋体"/>
                <w:color w:val="0D0D0D"/>
                <w:szCs w:val="21"/>
              </w:rPr>
              <w:t>2</w:t>
            </w:r>
            <w:r>
              <w:rPr>
                <w:rFonts w:hint="eastAsia" w:ascii="宋体" w:hAnsi="宋体"/>
                <w:color w:val="0D0D0D"/>
                <w:szCs w:val="21"/>
              </w:rPr>
              <w:t>.设计方案一次性满足使用单位要求的加2分，因设计费原因不满足要求重新修改的一次扣2分；</w:t>
            </w:r>
          </w:p>
          <w:p w14:paraId="62CF3E89">
            <w:pPr>
              <w:jc w:val="left"/>
              <w:rPr>
                <w:rFonts w:ascii="宋体" w:hAnsi="宋体"/>
                <w:color w:val="0D0D0D"/>
                <w:szCs w:val="21"/>
              </w:rPr>
            </w:pPr>
            <w:r>
              <w:rPr>
                <w:rFonts w:ascii="宋体" w:hAnsi="宋体"/>
                <w:color w:val="0D0D0D"/>
                <w:szCs w:val="21"/>
              </w:rPr>
              <w:t>3</w:t>
            </w:r>
            <w:r>
              <w:rPr>
                <w:rFonts w:hint="eastAsia" w:ascii="宋体" w:hAnsi="宋体"/>
                <w:color w:val="0D0D0D"/>
                <w:szCs w:val="21"/>
              </w:rPr>
              <w:t>.设计施工图满足相关规范要求且与现状相符的的加2分；</w:t>
            </w:r>
          </w:p>
          <w:p w14:paraId="5ECC73CC">
            <w:pPr>
              <w:jc w:val="left"/>
              <w:rPr>
                <w:rFonts w:ascii="宋体" w:hAnsi="宋体"/>
                <w:color w:val="0D0D0D"/>
                <w:szCs w:val="21"/>
              </w:rPr>
            </w:pPr>
            <w:r>
              <w:rPr>
                <w:rFonts w:hint="eastAsia" w:ascii="宋体" w:hAnsi="宋体"/>
                <w:color w:val="0D0D0D"/>
                <w:szCs w:val="21"/>
              </w:rPr>
              <w:t>4.发现不满足规范要求或与现状不符的一次扣2分。</w:t>
            </w:r>
          </w:p>
        </w:tc>
        <w:tc>
          <w:tcPr>
            <w:tcW w:w="856" w:type="dxa"/>
          </w:tcPr>
          <w:p w14:paraId="6D8A1A74">
            <w:pPr>
              <w:jc w:val="left"/>
              <w:rPr>
                <w:rFonts w:ascii="宋体" w:hAnsi="宋体"/>
                <w:color w:val="0D0D0D"/>
                <w:szCs w:val="21"/>
              </w:rPr>
            </w:pPr>
          </w:p>
        </w:tc>
        <w:tc>
          <w:tcPr>
            <w:tcW w:w="1892" w:type="dxa"/>
          </w:tcPr>
          <w:p w14:paraId="56A27E24">
            <w:pPr>
              <w:jc w:val="left"/>
              <w:rPr>
                <w:rFonts w:ascii="宋体" w:hAnsi="宋体"/>
                <w:color w:val="0D0D0D"/>
                <w:szCs w:val="21"/>
              </w:rPr>
            </w:pPr>
          </w:p>
        </w:tc>
      </w:tr>
      <w:tr w14:paraId="00C0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1" w:hRule="atLeast"/>
          <w:jc w:val="center"/>
        </w:trPr>
        <w:tc>
          <w:tcPr>
            <w:tcW w:w="680" w:type="dxa"/>
            <w:vAlign w:val="center"/>
          </w:tcPr>
          <w:p w14:paraId="70927BD3">
            <w:pPr>
              <w:jc w:val="center"/>
              <w:rPr>
                <w:rFonts w:ascii="宋体" w:hAnsi="宋体"/>
                <w:color w:val="0D0D0D"/>
                <w:szCs w:val="21"/>
              </w:rPr>
            </w:pPr>
            <w:r>
              <w:rPr>
                <w:rFonts w:hint="eastAsia" w:ascii="宋体" w:hAnsi="宋体"/>
                <w:color w:val="0D0D0D"/>
                <w:szCs w:val="21"/>
              </w:rPr>
              <w:t>4</w:t>
            </w:r>
          </w:p>
        </w:tc>
        <w:tc>
          <w:tcPr>
            <w:tcW w:w="1280" w:type="dxa"/>
            <w:vAlign w:val="center"/>
          </w:tcPr>
          <w:p w14:paraId="63D4F179">
            <w:pPr>
              <w:jc w:val="center"/>
              <w:rPr>
                <w:rFonts w:ascii="宋体" w:hAnsi="宋体"/>
                <w:color w:val="0D0D0D"/>
                <w:szCs w:val="21"/>
              </w:rPr>
            </w:pPr>
            <w:r>
              <w:rPr>
                <w:rFonts w:hint="eastAsia" w:ascii="宋体" w:hAnsi="宋体"/>
                <w:color w:val="0D0D0D"/>
                <w:szCs w:val="21"/>
              </w:rPr>
              <w:t>预算及预算审核</w:t>
            </w:r>
          </w:p>
          <w:p w14:paraId="246BAD18">
            <w:pPr>
              <w:jc w:val="center"/>
              <w:rPr>
                <w:rFonts w:ascii="宋体" w:hAnsi="宋体"/>
                <w:color w:val="0D0D0D"/>
                <w:szCs w:val="21"/>
              </w:rPr>
            </w:pPr>
            <w:r>
              <w:rPr>
                <w:rFonts w:hint="eastAsia" w:ascii="宋体" w:hAnsi="宋体"/>
                <w:color w:val="0D0D0D"/>
                <w:szCs w:val="21"/>
              </w:rPr>
              <w:t>（3分）</w:t>
            </w:r>
          </w:p>
        </w:tc>
        <w:tc>
          <w:tcPr>
            <w:tcW w:w="5525" w:type="dxa"/>
          </w:tcPr>
          <w:p w14:paraId="6486AC5A">
            <w:pPr>
              <w:pStyle w:val="9"/>
              <w:ind w:firstLine="0" w:firstLineChars="0"/>
              <w:jc w:val="left"/>
              <w:rPr>
                <w:rFonts w:ascii="宋体" w:hAnsi="宋体"/>
                <w:color w:val="0D0D0D"/>
                <w:szCs w:val="21"/>
              </w:rPr>
            </w:pPr>
            <w:r>
              <w:rPr>
                <w:rFonts w:hint="eastAsia" w:ascii="宋体" w:hAnsi="宋体"/>
                <w:color w:val="0D0D0D"/>
                <w:szCs w:val="21"/>
              </w:rPr>
              <w:t>1.积极配合预算及预算审核答疑的加1分，不配合扣1分；</w:t>
            </w:r>
          </w:p>
          <w:p w14:paraId="4C825D76">
            <w:pPr>
              <w:pStyle w:val="9"/>
              <w:ind w:firstLine="0" w:firstLineChars="0"/>
              <w:jc w:val="left"/>
              <w:rPr>
                <w:rFonts w:ascii="宋体" w:hAnsi="宋体"/>
                <w:color w:val="0D0D0D"/>
                <w:szCs w:val="21"/>
              </w:rPr>
            </w:pPr>
            <w:r>
              <w:rPr>
                <w:rFonts w:hint="eastAsia" w:ascii="宋体" w:hAnsi="宋体"/>
                <w:color w:val="0D0D0D"/>
                <w:szCs w:val="21"/>
              </w:rPr>
              <w:t>2.预算及预算审核过程中未发现因设计错误被要求修改图纸的加2分；</w:t>
            </w:r>
          </w:p>
          <w:p w14:paraId="17747254">
            <w:pPr>
              <w:pStyle w:val="9"/>
              <w:ind w:firstLine="0" w:firstLineChars="0"/>
              <w:jc w:val="left"/>
              <w:rPr>
                <w:rFonts w:ascii="宋体" w:hAnsi="宋体"/>
                <w:color w:val="0D0D0D"/>
                <w:szCs w:val="21"/>
              </w:rPr>
            </w:pPr>
            <w:r>
              <w:rPr>
                <w:rFonts w:hint="eastAsia" w:ascii="宋体" w:hAnsi="宋体"/>
                <w:color w:val="0D0D0D"/>
                <w:szCs w:val="21"/>
              </w:rPr>
              <w:t>3.预算及预算审核过程中因设计方原因错误被要求修改图纸一次扣2分。</w:t>
            </w:r>
          </w:p>
        </w:tc>
        <w:tc>
          <w:tcPr>
            <w:tcW w:w="856" w:type="dxa"/>
          </w:tcPr>
          <w:p w14:paraId="5B390AE3">
            <w:pPr>
              <w:jc w:val="left"/>
              <w:rPr>
                <w:rFonts w:ascii="宋体" w:hAnsi="宋体"/>
                <w:color w:val="0D0D0D"/>
                <w:szCs w:val="21"/>
              </w:rPr>
            </w:pPr>
          </w:p>
        </w:tc>
        <w:tc>
          <w:tcPr>
            <w:tcW w:w="1892" w:type="dxa"/>
          </w:tcPr>
          <w:p w14:paraId="519255B0">
            <w:pPr>
              <w:jc w:val="left"/>
              <w:rPr>
                <w:rFonts w:ascii="宋体" w:hAnsi="宋体"/>
                <w:color w:val="0D0D0D"/>
                <w:szCs w:val="21"/>
              </w:rPr>
            </w:pPr>
          </w:p>
        </w:tc>
      </w:tr>
      <w:tr w14:paraId="4856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680" w:type="dxa"/>
            <w:vAlign w:val="center"/>
          </w:tcPr>
          <w:p w14:paraId="0C4D1BC6">
            <w:pPr>
              <w:jc w:val="center"/>
              <w:rPr>
                <w:rFonts w:ascii="宋体" w:hAnsi="宋体"/>
                <w:color w:val="0D0D0D"/>
                <w:szCs w:val="21"/>
              </w:rPr>
            </w:pPr>
            <w:r>
              <w:rPr>
                <w:rFonts w:hint="eastAsia" w:ascii="宋体" w:hAnsi="宋体"/>
                <w:color w:val="0D0D0D"/>
                <w:szCs w:val="21"/>
              </w:rPr>
              <w:t>5</w:t>
            </w:r>
          </w:p>
        </w:tc>
        <w:tc>
          <w:tcPr>
            <w:tcW w:w="1280" w:type="dxa"/>
            <w:vAlign w:val="center"/>
          </w:tcPr>
          <w:p w14:paraId="59E55CA0">
            <w:pPr>
              <w:jc w:val="center"/>
              <w:rPr>
                <w:rFonts w:ascii="宋体" w:hAnsi="宋体"/>
                <w:color w:val="0D0D0D"/>
                <w:szCs w:val="21"/>
              </w:rPr>
            </w:pPr>
            <w:r>
              <w:rPr>
                <w:rFonts w:hint="eastAsia" w:ascii="宋体" w:hAnsi="宋体"/>
                <w:color w:val="0D0D0D"/>
                <w:szCs w:val="21"/>
              </w:rPr>
              <w:t>施工配合</w:t>
            </w:r>
          </w:p>
          <w:p w14:paraId="2A8E8B8A">
            <w:pPr>
              <w:jc w:val="center"/>
              <w:rPr>
                <w:rFonts w:ascii="宋体" w:hAnsi="宋体"/>
                <w:color w:val="0D0D0D"/>
                <w:szCs w:val="21"/>
              </w:rPr>
            </w:pPr>
            <w:r>
              <w:rPr>
                <w:rFonts w:hint="eastAsia" w:ascii="宋体" w:hAnsi="宋体"/>
                <w:color w:val="0D0D0D"/>
                <w:szCs w:val="21"/>
              </w:rPr>
              <w:t>（2分）</w:t>
            </w:r>
          </w:p>
        </w:tc>
        <w:tc>
          <w:tcPr>
            <w:tcW w:w="5525" w:type="dxa"/>
          </w:tcPr>
          <w:p w14:paraId="410E3D77">
            <w:pPr>
              <w:pStyle w:val="9"/>
              <w:ind w:firstLine="0" w:firstLineChars="0"/>
              <w:jc w:val="left"/>
              <w:rPr>
                <w:rFonts w:ascii="宋体" w:hAnsi="宋体"/>
                <w:color w:val="0D0D0D"/>
                <w:szCs w:val="21"/>
              </w:rPr>
            </w:pPr>
            <w:r>
              <w:rPr>
                <w:rFonts w:hint="eastAsia" w:ascii="宋体" w:hAnsi="宋体"/>
                <w:color w:val="0D0D0D"/>
                <w:szCs w:val="21"/>
              </w:rPr>
              <w:t>1.能及时回复联系单出具设计变更的加1分；</w:t>
            </w:r>
          </w:p>
          <w:p w14:paraId="73379D14">
            <w:pPr>
              <w:pStyle w:val="9"/>
              <w:ind w:firstLine="0" w:firstLineChars="0"/>
              <w:jc w:val="left"/>
              <w:rPr>
                <w:rFonts w:ascii="宋体" w:hAnsi="宋体"/>
                <w:color w:val="0D0D0D"/>
                <w:szCs w:val="21"/>
              </w:rPr>
            </w:pPr>
            <w:r>
              <w:rPr>
                <w:rFonts w:hint="eastAsia" w:ascii="宋体" w:hAnsi="宋体"/>
                <w:color w:val="0D0D0D"/>
                <w:szCs w:val="21"/>
              </w:rPr>
              <w:t>2.及时参加各项验收的加1分；</w:t>
            </w:r>
          </w:p>
          <w:p w14:paraId="51B8D56B">
            <w:pPr>
              <w:pStyle w:val="9"/>
              <w:ind w:firstLine="0" w:firstLineChars="0"/>
              <w:jc w:val="left"/>
              <w:rPr>
                <w:rFonts w:ascii="宋体" w:hAnsi="宋体"/>
                <w:color w:val="0D0D0D"/>
                <w:szCs w:val="21"/>
              </w:rPr>
            </w:pPr>
            <w:r>
              <w:rPr>
                <w:rFonts w:hint="eastAsia" w:ascii="宋体" w:hAnsi="宋体"/>
                <w:color w:val="0D0D0D"/>
                <w:szCs w:val="21"/>
              </w:rPr>
              <w:t>3.不及时回复联系单及设计变更，或不能及时盖章导致工程工期延误的，每次扣1分；</w:t>
            </w:r>
          </w:p>
        </w:tc>
        <w:tc>
          <w:tcPr>
            <w:tcW w:w="856" w:type="dxa"/>
          </w:tcPr>
          <w:p w14:paraId="05F427D0">
            <w:pPr>
              <w:jc w:val="left"/>
              <w:rPr>
                <w:rFonts w:ascii="宋体" w:hAnsi="宋体"/>
                <w:color w:val="0D0D0D"/>
                <w:szCs w:val="21"/>
              </w:rPr>
            </w:pPr>
          </w:p>
        </w:tc>
        <w:tc>
          <w:tcPr>
            <w:tcW w:w="1892" w:type="dxa"/>
          </w:tcPr>
          <w:p w14:paraId="343E4B75">
            <w:pPr>
              <w:jc w:val="left"/>
              <w:rPr>
                <w:rFonts w:ascii="宋体" w:hAnsi="宋体"/>
                <w:color w:val="0D0D0D"/>
                <w:szCs w:val="21"/>
              </w:rPr>
            </w:pPr>
          </w:p>
        </w:tc>
      </w:tr>
      <w:tr w14:paraId="4075B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jc w:val="center"/>
        </w:trPr>
        <w:tc>
          <w:tcPr>
            <w:tcW w:w="680" w:type="dxa"/>
            <w:vAlign w:val="center"/>
          </w:tcPr>
          <w:p w14:paraId="124410B1">
            <w:pPr>
              <w:jc w:val="center"/>
              <w:rPr>
                <w:rFonts w:ascii="宋体" w:hAnsi="宋体"/>
                <w:color w:val="0D0D0D"/>
                <w:szCs w:val="21"/>
              </w:rPr>
            </w:pPr>
            <w:r>
              <w:rPr>
                <w:rFonts w:hint="eastAsia" w:ascii="宋体" w:hAnsi="宋体"/>
                <w:color w:val="0D0D0D"/>
                <w:szCs w:val="21"/>
              </w:rPr>
              <w:t>6</w:t>
            </w:r>
          </w:p>
        </w:tc>
        <w:tc>
          <w:tcPr>
            <w:tcW w:w="1280" w:type="dxa"/>
            <w:vAlign w:val="center"/>
          </w:tcPr>
          <w:p w14:paraId="5FE593DA">
            <w:pPr>
              <w:jc w:val="center"/>
              <w:rPr>
                <w:rFonts w:ascii="宋体" w:hAnsi="宋体"/>
                <w:color w:val="0D0D0D"/>
                <w:szCs w:val="21"/>
              </w:rPr>
            </w:pPr>
            <w:r>
              <w:rPr>
                <w:rFonts w:hint="eastAsia" w:ascii="宋体" w:hAnsi="宋体"/>
                <w:color w:val="0D0D0D"/>
                <w:szCs w:val="21"/>
              </w:rPr>
              <w:t>配合满意度</w:t>
            </w:r>
          </w:p>
          <w:p w14:paraId="2258BEB0">
            <w:pPr>
              <w:jc w:val="center"/>
              <w:rPr>
                <w:rFonts w:ascii="宋体" w:hAnsi="宋体"/>
                <w:color w:val="0D0D0D"/>
                <w:szCs w:val="21"/>
              </w:rPr>
            </w:pPr>
            <w:r>
              <w:rPr>
                <w:rFonts w:hint="eastAsia" w:ascii="宋体" w:hAnsi="宋体"/>
                <w:color w:val="0D0D0D"/>
                <w:szCs w:val="21"/>
              </w:rPr>
              <w:t>(5分)</w:t>
            </w:r>
          </w:p>
        </w:tc>
        <w:tc>
          <w:tcPr>
            <w:tcW w:w="5525" w:type="dxa"/>
          </w:tcPr>
          <w:p w14:paraId="0338A6DF">
            <w:pPr>
              <w:ind w:left="315" w:hanging="315" w:hangingChars="150"/>
              <w:jc w:val="left"/>
              <w:rPr>
                <w:rFonts w:ascii="宋体" w:hAnsi="宋体"/>
                <w:color w:val="0D0D0D"/>
                <w:szCs w:val="21"/>
              </w:rPr>
            </w:pPr>
            <w:r>
              <w:rPr>
                <w:rFonts w:hint="eastAsia" w:ascii="宋体" w:hAnsi="宋体"/>
                <w:color w:val="0D0D0D"/>
                <w:szCs w:val="21"/>
              </w:rPr>
              <w:t>项目实施过中对</w:t>
            </w:r>
            <w:r>
              <w:rPr>
                <w:rFonts w:hint="eastAsia" w:ascii="宋体" w:hAnsi="宋体"/>
                <w:color w:val="0D0D0D"/>
                <w:szCs w:val="21"/>
                <w:lang w:val="en-US" w:eastAsia="zh-CN"/>
              </w:rPr>
              <w:t>设计</w:t>
            </w:r>
            <w:r>
              <w:rPr>
                <w:rFonts w:hint="eastAsia" w:ascii="宋体" w:hAnsi="宋体"/>
                <w:color w:val="0D0D0D"/>
                <w:szCs w:val="21"/>
              </w:rPr>
              <w:t>单位的配合度及满意度的评价。</w:t>
            </w:r>
          </w:p>
          <w:p w14:paraId="54BEC53D">
            <w:pPr>
              <w:ind w:left="315" w:hanging="315" w:hangingChars="150"/>
              <w:jc w:val="left"/>
              <w:rPr>
                <w:rFonts w:ascii="宋体" w:hAnsi="宋体"/>
                <w:color w:val="0D0D0D"/>
                <w:szCs w:val="21"/>
              </w:rPr>
            </w:pPr>
            <w:r>
              <w:rPr>
                <w:rFonts w:hint="eastAsia" w:ascii="宋体" w:hAnsi="宋体"/>
                <w:color w:val="0D0D0D"/>
                <w:szCs w:val="21"/>
              </w:rPr>
              <w:t>(好：5分，中3分，差0分)</w:t>
            </w:r>
          </w:p>
        </w:tc>
        <w:tc>
          <w:tcPr>
            <w:tcW w:w="856" w:type="dxa"/>
          </w:tcPr>
          <w:p w14:paraId="005A994E">
            <w:pPr>
              <w:jc w:val="left"/>
              <w:rPr>
                <w:rFonts w:ascii="宋体" w:hAnsi="宋体"/>
                <w:color w:val="0D0D0D"/>
                <w:szCs w:val="21"/>
              </w:rPr>
            </w:pPr>
          </w:p>
        </w:tc>
        <w:tc>
          <w:tcPr>
            <w:tcW w:w="1892" w:type="dxa"/>
          </w:tcPr>
          <w:p w14:paraId="2EA9F332">
            <w:pPr>
              <w:jc w:val="left"/>
              <w:rPr>
                <w:rFonts w:ascii="宋体" w:hAnsi="宋体"/>
                <w:color w:val="0D0D0D"/>
                <w:szCs w:val="21"/>
              </w:rPr>
            </w:pPr>
          </w:p>
        </w:tc>
      </w:tr>
      <w:tr w14:paraId="137B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960" w:type="dxa"/>
            <w:gridSpan w:val="2"/>
            <w:vAlign w:val="center"/>
          </w:tcPr>
          <w:p w14:paraId="126D62AA">
            <w:pPr>
              <w:jc w:val="center"/>
              <w:rPr>
                <w:rFonts w:ascii="宋体" w:hAnsi="宋体"/>
                <w:color w:val="0D0D0D"/>
                <w:szCs w:val="21"/>
              </w:rPr>
            </w:pPr>
            <w:r>
              <w:rPr>
                <w:rFonts w:hint="eastAsia" w:ascii="宋体" w:hAnsi="宋体"/>
                <w:color w:val="0D0D0D"/>
                <w:szCs w:val="21"/>
              </w:rPr>
              <w:t>合计得分</w:t>
            </w:r>
          </w:p>
          <w:p w14:paraId="312D12AF">
            <w:pPr>
              <w:jc w:val="center"/>
              <w:rPr>
                <w:rFonts w:ascii="宋体" w:hAnsi="宋体"/>
                <w:color w:val="0D0D0D"/>
                <w:szCs w:val="21"/>
              </w:rPr>
            </w:pPr>
          </w:p>
        </w:tc>
        <w:tc>
          <w:tcPr>
            <w:tcW w:w="8273" w:type="dxa"/>
            <w:gridSpan w:val="3"/>
          </w:tcPr>
          <w:p w14:paraId="75A40DAB">
            <w:pPr>
              <w:jc w:val="left"/>
              <w:rPr>
                <w:rFonts w:ascii="宋体" w:hAnsi="宋体"/>
                <w:color w:val="0D0D0D"/>
                <w:szCs w:val="21"/>
              </w:rPr>
            </w:pPr>
          </w:p>
        </w:tc>
      </w:tr>
      <w:tr w14:paraId="4538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jc w:val="center"/>
        </w:trPr>
        <w:tc>
          <w:tcPr>
            <w:tcW w:w="10233" w:type="dxa"/>
            <w:gridSpan w:val="5"/>
          </w:tcPr>
          <w:p w14:paraId="07B22CE8">
            <w:pPr>
              <w:wordWrap w:val="0"/>
              <w:jc w:val="right"/>
              <w:rPr>
                <w:rFonts w:ascii="宋体" w:hAnsi="宋体"/>
                <w:color w:val="0D0D0D"/>
                <w:szCs w:val="21"/>
              </w:rPr>
            </w:pPr>
            <w:r>
              <w:rPr>
                <w:rFonts w:hint="eastAsia" w:ascii="宋体" w:hAnsi="宋体"/>
                <w:color w:val="0D0D0D"/>
                <w:szCs w:val="21"/>
              </w:rPr>
              <w:t xml:space="preserve">                                    现场管理人员：              年   月   日</w:t>
            </w:r>
          </w:p>
        </w:tc>
      </w:tr>
    </w:tbl>
    <w:p w14:paraId="4E740438">
      <w:pPr>
        <w:rPr>
          <w:rFonts w:ascii="宋体" w:hAnsi="宋体"/>
          <w:color w:val="0D0D0D"/>
          <w:szCs w:val="28"/>
        </w:rPr>
      </w:pPr>
    </w:p>
    <w:p w14:paraId="1E4EB87C">
      <w:pPr>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附件2：</w:t>
      </w:r>
    </w:p>
    <w:p w14:paraId="575513D5">
      <w:pPr>
        <w:jc w:val="center"/>
        <w:rPr>
          <w:rFonts w:hint="eastAsia" w:ascii="黑体" w:hAnsi="黑体" w:eastAsia="黑体" w:cs="黑体"/>
          <w:b w:val="0"/>
          <w:bCs/>
          <w:color w:val="000000"/>
          <w:w w:val="90"/>
          <w:sz w:val="28"/>
          <w:szCs w:val="28"/>
        </w:rPr>
      </w:pPr>
      <w:r>
        <w:rPr>
          <w:rFonts w:hint="eastAsia" w:ascii="黑体" w:hAnsi="黑体" w:eastAsia="黑体" w:cs="黑体"/>
          <w:b w:val="0"/>
          <w:bCs/>
          <w:color w:val="000000"/>
          <w:w w:val="90"/>
          <w:sz w:val="28"/>
          <w:szCs w:val="28"/>
        </w:rPr>
        <w:t>闽南师范大学小规模工程监理单位库项目考核评分表</w:t>
      </w:r>
    </w:p>
    <w:p w14:paraId="321F4BA4">
      <w:pPr>
        <w:rPr>
          <w:rFonts w:ascii="宋体" w:hAnsi="宋体"/>
          <w:color w:val="000000"/>
          <w:szCs w:val="28"/>
        </w:rPr>
      </w:pPr>
      <w:r>
        <w:rPr>
          <w:rFonts w:hint="eastAsia" w:ascii="宋体" w:hAnsi="宋体"/>
          <w:color w:val="000000"/>
          <w:szCs w:val="28"/>
        </w:rPr>
        <w:t xml:space="preserve">监理单位：                          项目名称：     </w:t>
      </w:r>
      <w:r>
        <w:rPr>
          <w:rFonts w:hint="eastAsia" w:ascii="宋体" w:hAnsi="宋体"/>
          <w:color w:val="000000"/>
        </w:rPr>
        <w:t xml:space="preserve">                         </w:t>
      </w:r>
      <w:r>
        <w:rPr>
          <w:rFonts w:hint="eastAsia"/>
          <w:color w:val="000000"/>
        </w:rPr>
        <w:t xml:space="preserve">            </w:t>
      </w:r>
    </w:p>
    <w:tbl>
      <w:tblPr>
        <w:tblStyle w:val="5"/>
        <w:tblW w:w="10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155"/>
        <w:gridCol w:w="5625"/>
        <w:gridCol w:w="915"/>
        <w:gridCol w:w="1703"/>
      </w:tblGrid>
      <w:tr w14:paraId="1F7C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35" w:type="dxa"/>
            <w:vAlign w:val="center"/>
          </w:tcPr>
          <w:p w14:paraId="5522029B">
            <w:pPr>
              <w:spacing w:line="400" w:lineRule="exact"/>
              <w:jc w:val="center"/>
              <w:rPr>
                <w:rFonts w:ascii="宋体" w:hAnsi="宋体"/>
                <w:b/>
                <w:color w:val="000000"/>
              </w:rPr>
            </w:pPr>
            <w:r>
              <w:rPr>
                <w:rFonts w:hint="eastAsia" w:ascii="宋体" w:hAnsi="宋体"/>
                <w:b/>
                <w:color w:val="000000"/>
              </w:rPr>
              <w:t>序号</w:t>
            </w:r>
          </w:p>
        </w:tc>
        <w:tc>
          <w:tcPr>
            <w:tcW w:w="1155" w:type="dxa"/>
            <w:vAlign w:val="center"/>
          </w:tcPr>
          <w:p w14:paraId="7DC0496D">
            <w:pPr>
              <w:spacing w:line="400" w:lineRule="exact"/>
              <w:jc w:val="center"/>
              <w:rPr>
                <w:rFonts w:ascii="宋体" w:hAnsi="宋体"/>
                <w:b/>
                <w:color w:val="000000"/>
              </w:rPr>
            </w:pPr>
            <w:r>
              <w:rPr>
                <w:rFonts w:hint="eastAsia" w:ascii="宋体" w:hAnsi="宋体"/>
                <w:b/>
                <w:color w:val="000000"/>
              </w:rPr>
              <w:t>项目</w:t>
            </w:r>
          </w:p>
        </w:tc>
        <w:tc>
          <w:tcPr>
            <w:tcW w:w="5625" w:type="dxa"/>
          </w:tcPr>
          <w:p w14:paraId="744207D6">
            <w:pPr>
              <w:spacing w:line="400" w:lineRule="exact"/>
              <w:jc w:val="center"/>
              <w:rPr>
                <w:rFonts w:ascii="宋体" w:hAnsi="宋体"/>
                <w:b/>
                <w:color w:val="000000"/>
              </w:rPr>
            </w:pPr>
            <w:r>
              <w:rPr>
                <w:rFonts w:hint="eastAsia" w:ascii="宋体" w:hAnsi="宋体"/>
                <w:b/>
                <w:color w:val="000000"/>
              </w:rPr>
              <w:t>评分标准</w:t>
            </w:r>
          </w:p>
        </w:tc>
        <w:tc>
          <w:tcPr>
            <w:tcW w:w="915" w:type="dxa"/>
          </w:tcPr>
          <w:p w14:paraId="209DFA8F">
            <w:pPr>
              <w:spacing w:line="400" w:lineRule="exact"/>
              <w:jc w:val="center"/>
              <w:rPr>
                <w:rFonts w:ascii="宋体" w:hAnsi="宋体"/>
                <w:b/>
                <w:color w:val="000000"/>
              </w:rPr>
            </w:pPr>
            <w:r>
              <w:rPr>
                <w:rFonts w:hint="eastAsia" w:ascii="宋体" w:hAnsi="宋体"/>
                <w:b/>
                <w:color w:val="000000"/>
              </w:rPr>
              <w:t>评分</w:t>
            </w:r>
          </w:p>
        </w:tc>
        <w:tc>
          <w:tcPr>
            <w:tcW w:w="1703" w:type="dxa"/>
          </w:tcPr>
          <w:p w14:paraId="408A36C4">
            <w:pPr>
              <w:spacing w:line="400" w:lineRule="exact"/>
              <w:jc w:val="center"/>
              <w:rPr>
                <w:rFonts w:ascii="宋体" w:hAnsi="宋体"/>
                <w:b/>
                <w:color w:val="000000"/>
              </w:rPr>
            </w:pPr>
            <w:r>
              <w:rPr>
                <w:rFonts w:hint="eastAsia" w:ascii="宋体" w:hAnsi="宋体"/>
                <w:b/>
                <w:color w:val="000000"/>
              </w:rPr>
              <w:t>原因备注</w:t>
            </w:r>
          </w:p>
        </w:tc>
      </w:tr>
      <w:tr w14:paraId="6DE9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35" w:type="dxa"/>
            <w:vAlign w:val="center"/>
          </w:tcPr>
          <w:p w14:paraId="6EB5971F">
            <w:pPr>
              <w:spacing w:line="400" w:lineRule="exact"/>
              <w:jc w:val="center"/>
              <w:rPr>
                <w:rFonts w:ascii="宋体" w:hAnsi="宋体"/>
                <w:color w:val="000000"/>
              </w:rPr>
            </w:pPr>
            <w:r>
              <w:rPr>
                <w:rFonts w:hint="eastAsia" w:ascii="宋体" w:hAnsi="宋体"/>
                <w:color w:val="000000"/>
              </w:rPr>
              <w:t>1</w:t>
            </w:r>
          </w:p>
        </w:tc>
        <w:tc>
          <w:tcPr>
            <w:tcW w:w="1155" w:type="dxa"/>
            <w:vAlign w:val="center"/>
          </w:tcPr>
          <w:p w14:paraId="244AB71F">
            <w:pPr>
              <w:spacing w:line="400" w:lineRule="exact"/>
              <w:jc w:val="center"/>
              <w:rPr>
                <w:rFonts w:ascii="宋体" w:hAnsi="宋体"/>
                <w:color w:val="000000"/>
              </w:rPr>
            </w:pPr>
            <w:r>
              <w:rPr>
                <w:rFonts w:hint="eastAsia" w:ascii="宋体" w:hAnsi="宋体"/>
                <w:color w:val="000000"/>
              </w:rPr>
              <w:t>基础分（80）</w:t>
            </w:r>
          </w:p>
        </w:tc>
        <w:tc>
          <w:tcPr>
            <w:tcW w:w="5625" w:type="dxa"/>
          </w:tcPr>
          <w:p w14:paraId="18B6F538">
            <w:pPr>
              <w:spacing w:line="400" w:lineRule="exact"/>
              <w:jc w:val="center"/>
              <w:rPr>
                <w:rFonts w:ascii="宋体" w:hAnsi="宋体"/>
                <w:color w:val="000000"/>
              </w:rPr>
            </w:pPr>
            <w:r>
              <w:rPr>
                <w:rFonts w:hint="eastAsia" w:ascii="宋体" w:hAnsi="宋体"/>
                <w:color w:val="000000"/>
              </w:rPr>
              <w:t>80</w:t>
            </w:r>
          </w:p>
        </w:tc>
        <w:tc>
          <w:tcPr>
            <w:tcW w:w="915" w:type="dxa"/>
          </w:tcPr>
          <w:p w14:paraId="3E1BFECA">
            <w:pPr>
              <w:spacing w:line="400" w:lineRule="exact"/>
              <w:jc w:val="center"/>
              <w:rPr>
                <w:rFonts w:ascii="宋体" w:hAnsi="宋体"/>
                <w:color w:val="000000"/>
              </w:rPr>
            </w:pPr>
            <w:r>
              <w:rPr>
                <w:rFonts w:hint="eastAsia" w:ascii="宋体" w:hAnsi="宋体"/>
                <w:color w:val="000000"/>
              </w:rPr>
              <w:t>80</w:t>
            </w:r>
          </w:p>
        </w:tc>
        <w:tc>
          <w:tcPr>
            <w:tcW w:w="1703" w:type="dxa"/>
            <w:tcBorders>
              <w:tl2br w:val="single" w:color="auto" w:sz="4" w:space="0"/>
            </w:tcBorders>
          </w:tcPr>
          <w:p w14:paraId="7F7B4916">
            <w:pPr>
              <w:spacing w:line="400" w:lineRule="exact"/>
              <w:jc w:val="center"/>
              <w:rPr>
                <w:rFonts w:ascii="宋体" w:hAnsi="宋体"/>
                <w:color w:val="000000"/>
              </w:rPr>
            </w:pPr>
          </w:p>
        </w:tc>
      </w:tr>
      <w:tr w14:paraId="64882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Align w:val="center"/>
          </w:tcPr>
          <w:p w14:paraId="6109F829">
            <w:pPr>
              <w:spacing w:line="400" w:lineRule="exact"/>
              <w:jc w:val="center"/>
              <w:rPr>
                <w:rFonts w:ascii="宋体" w:hAnsi="宋体"/>
                <w:color w:val="000000"/>
              </w:rPr>
            </w:pPr>
            <w:r>
              <w:rPr>
                <w:rFonts w:hint="eastAsia" w:ascii="宋体" w:hAnsi="宋体"/>
                <w:color w:val="000000"/>
              </w:rPr>
              <w:t>2</w:t>
            </w:r>
          </w:p>
        </w:tc>
        <w:tc>
          <w:tcPr>
            <w:tcW w:w="1155" w:type="dxa"/>
            <w:vAlign w:val="center"/>
          </w:tcPr>
          <w:p w14:paraId="568C4E36">
            <w:pPr>
              <w:spacing w:line="400" w:lineRule="exact"/>
              <w:jc w:val="center"/>
              <w:rPr>
                <w:rFonts w:ascii="宋体" w:hAnsi="宋体"/>
                <w:color w:val="000000"/>
              </w:rPr>
            </w:pPr>
            <w:r>
              <w:rPr>
                <w:rFonts w:hint="eastAsia" w:ascii="宋体" w:hAnsi="宋体"/>
                <w:color w:val="000000"/>
              </w:rPr>
              <w:t>施工</w:t>
            </w:r>
          </w:p>
          <w:p w14:paraId="15E93DD5">
            <w:pPr>
              <w:spacing w:line="400" w:lineRule="exact"/>
              <w:jc w:val="center"/>
              <w:rPr>
                <w:rFonts w:ascii="宋体" w:hAnsi="宋体"/>
                <w:color w:val="000000"/>
              </w:rPr>
            </w:pPr>
            <w:r>
              <w:rPr>
                <w:rFonts w:hint="eastAsia" w:ascii="宋体" w:hAnsi="宋体"/>
                <w:color w:val="000000"/>
              </w:rPr>
              <w:t>工期</w:t>
            </w:r>
          </w:p>
          <w:p w14:paraId="279CD955">
            <w:pPr>
              <w:spacing w:line="400" w:lineRule="exact"/>
              <w:jc w:val="center"/>
              <w:rPr>
                <w:rFonts w:ascii="宋体" w:hAnsi="宋体"/>
                <w:color w:val="000000"/>
              </w:rPr>
            </w:pPr>
            <w:r>
              <w:rPr>
                <w:rFonts w:hint="eastAsia" w:ascii="宋体" w:hAnsi="宋体"/>
                <w:color w:val="000000"/>
              </w:rPr>
              <w:t>（4分）</w:t>
            </w:r>
          </w:p>
        </w:tc>
        <w:tc>
          <w:tcPr>
            <w:tcW w:w="5625" w:type="dxa"/>
          </w:tcPr>
          <w:p w14:paraId="54106326">
            <w:pPr>
              <w:spacing w:line="400" w:lineRule="exact"/>
              <w:jc w:val="left"/>
              <w:rPr>
                <w:rFonts w:ascii="宋体" w:hAnsi="宋体"/>
                <w:color w:val="000000"/>
              </w:rPr>
            </w:pPr>
            <w:r>
              <w:rPr>
                <w:rFonts w:hint="eastAsia" w:ascii="宋体" w:hAnsi="宋体"/>
                <w:color w:val="000000"/>
              </w:rPr>
              <w:t>1.工期提前完成一天加1分，最高加4分；</w:t>
            </w:r>
          </w:p>
          <w:p w14:paraId="2E507924">
            <w:pPr>
              <w:spacing w:line="400" w:lineRule="exact"/>
              <w:jc w:val="left"/>
              <w:rPr>
                <w:rFonts w:ascii="宋体" w:hAnsi="宋体" w:cs="宋体"/>
                <w:color w:val="000000"/>
              </w:rPr>
            </w:pPr>
            <w:r>
              <w:rPr>
                <w:rFonts w:hint="eastAsia" w:ascii="宋体" w:hAnsi="宋体"/>
                <w:color w:val="000000"/>
              </w:rPr>
              <w:t>2.工期因施工方原因延误一天扣1分，延误四天以上扣4分。</w:t>
            </w:r>
          </w:p>
        </w:tc>
        <w:tc>
          <w:tcPr>
            <w:tcW w:w="915" w:type="dxa"/>
          </w:tcPr>
          <w:p w14:paraId="5FE7CD7E">
            <w:pPr>
              <w:spacing w:line="400" w:lineRule="exact"/>
              <w:jc w:val="left"/>
              <w:rPr>
                <w:rFonts w:ascii="宋体" w:hAnsi="宋体"/>
                <w:color w:val="000000"/>
              </w:rPr>
            </w:pPr>
          </w:p>
        </w:tc>
        <w:tc>
          <w:tcPr>
            <w:tcW w:w="1703" w:type="dxa"/>
          </w:tcPr>
          <w:p w14:paraId="65550F1B">
            <w:pPr>
              <w:spacing w:line="400" w:lineRule="exact"/>
              <w:jc w:val="left"/>
              <w:rPr>
                <w:rFonts w:ascii="宋体" w:hAnsi="宋体"/>
                <w:color w:val="000000"/>
              </w:rPr>
            </w:pPr>
          </w:p>
        </w:tc>
      </w:tr>
      <w:tr w14:paraId="0ADC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Align w:val="center"/>
          </w:tcPr>
          <w:p w14:paraId="445B07F4">
            <w:pPr>
              <w:spacing w:line="400" w:lineRule="exact"/>
              <w:jc w:val="center"/>
              <w:rPr>
                <w:rFonts w:ascii="宋体" w:hAnsi="宋体"/>
                <w:color w:val="000000"/>
              </w:rPr>
            </w:pPr>
            <w:r>
              <w:rPr>
                <w:rFonts w:hint="eastAsia" w:ascii="宋体" w:hAnsi="宋体"/>
                <w:color w:val="000000"/>
              </w:rPr>
              <w:t>3</w:t>
            </w:r>
          </w:p>
        </w:tc>
        <w:tc>
          <w:tcPr>
            <w:tcW w:w="1155" w:type="dxa"/>
            <w:vAlign w:val="center"/>
          </w:tcPr>
          <w:p w14:paraId="36A8CBC8">
            <w:pPr>
              <w:spacing w:line="400" w:lineRule="exact"/>
              <w:jc w:val="center"/>
              <w:rPr>
                <w:rFonts w:ascii="宋体" w:hAnsi="宋体"/>
                <w:color w:val="000000"/>
                <w:szCs w:val="28"/>
              </w:rPr>
            </w:pPr>
            <w:r>
              <w:rPr>
                <w:rFonts w:hint="eastAsia" w:ascii="宋体" w:hAnsi="宋体"/>
                <w:color w:val="000000"/>
                <w:szCs w:val="28"/>
              </w:rPr>
              <w:t>施工监理过程</w:t>
            </w:r>
          </w:p>
          <w:p w14:paraId="3DFDBD44">
            <w:pPr>
              <w:spacing w:line="400" w:lineRule="exact"/>
              <w:jc w:val="center"/>
              <w:rPr>
                <w:rFonts w:ascii="宋体" w:hAnsi="宋体"/>
                <w:color w:val="000000"/>
                <w:szCs w:val="28"/>
              </w:rPr>
            </w:pPr>
            <w:r>
              <w:rPr>
                <w:rFonts w:hint="eastAsia" w:ascii="宋体" w:hAnsi="宋体"/>
                <w:color w:val="000000"/>
                <w:szCs w:val="28"/>
              </w:rPr>
              <w:t>（6分）</w:t>
            </w:r>
          </w:p>
        </w:tc>
        <w:tc>
          <w:tcPr>
            <w:tcW w:w="5625" w:type="dxa"/>
          </w:tcPr>
          <w:p w14:paraId="2EFF7812">
            <w:pPr>
              <w:pStyle w:val="9"/>
              <w:spacing w:line="400" w:lineRule="exact"/>
              <w:ind w:firstLine="0" w:firstLineChars="0"/>
              <w:jc w:val="left"/>
              <w:rPr>
                <w:rFonts w:ascii="宋体" w:hAnsi="宋体"/>
                <w:color w:val="000000"/>
                <w:szCs w:val="21"/>
              </w:rPr>
            </w:pPr>
            <w:r>
              <w:rPr>
                <w:rFonts w:hint="eastAsia" w:ascii="宋体" w:hAnsi="宋体"/>
                <w:color w:val="000000"/>
                <w:szCs w:val="21"/>
              </w:rPr>
              <w:t>1.施工过程监理人员能到位的加1分，发现监理人员不到位的一次扣1分；</w:t>
            </w:r>
          </w:p>
          <w:p w14:paraId="75402678">
            <w:pPr>
              <w:pStyle w:val="9"/>
              <w:spacing w:line="400" w:lineRule="exact"/>
              <w:ind w:firstLine="0" w:firstLineChars="0"/>
              <w:jc w:val="left"/>
              <w:rPr>
                <w:rFonts w:ascii="宋体" w:hAnsi="宋体"/>
                <w:color w:val="000000"/>
                <w:szCs w:val="21"/>
              </w:rPr>
            </w:pPr>
            <w:r>
              <w:rPr>
                <w:rFonts w:hint="eastAsia" w:ascii="宋体" w:hAnsi="宋体"/>
                <w:color w:val="000000"/>
                <w:szCs w:val="21"/>
              </w:rPr>
              <w:t>2.发现施工单位不按图施工的一次扣2分，无此情况加1分；</w:t>
            </w:r>
          </w:p>
          <w:p w14:paraId="325B964A">
            <w:pPr>
              <w:pStyle w:val="9"/>
              <w:spacing w:line="400" w:lineRule="exact"/>
              <w:ind w:firstLine="0" w:firstLineChars="0"/>
              <w:jc w:val="left"/>
              <w:rPr>
                <w:rFonts w:ascii="宋体" w:hAnsi="宋体"/>
                <w:color w:val="000000"/>
                <w:szCs w:val="21"/>
              </w:rPr>
            </w:pPr>
            <w:r>
              <w:rPr>
                <w:rFonts w:hint="eastAsia" w:ascii="宋体" w:hAnsi="宋体"/>
                <w:color w:val="000000"/>
                <w:szCs w:val="21"/>
              </w:rPr>
              <w:t>3.发现施工单位不按安全文明施工要求施工的一次扣1分，无此情况加1分；</w:t>
            </w:r>
          </w:p>
          <w:p w14:paraId="3DBF2C77">
            <w:pPr>
              <w:pStyle w:val="9"/>
              <w:spacing w:line="400" w:lineRule="exact"/>
              <w:ind w:firstLine="0" w:firstLineChars="0"/>
              <w:jc w:val="left"/>
              <w:rPr>
                <w:rFonts w:ascii="宋体" w:hAnsi="宋体"/>
                <w:color w:val="000000"/>
                <w:sz w:val="28"/>
                <w:szCs w:val="28"/>
              </w:rPr>
            </w:pPr>
            <w:r>
              <w:rPr>
                <w:rFonts w:hint="eastAsia" w:ascii="宋体" w:hAnsi="宋体"/>
                <w:color w:val="000000"/>
                <w:szCs w:val="21"/>
              </w:rPr>
              <w:t>4.监理单位发现施工单位不按图施工或不按安全文明施工的一次加1分，最高加3分。</w:t>
            </w:r>
          </w:p>
        </w:tc>
        <w:tc>
          <w:tcPr>
            <w:tcW w:w="915" w:type="dxa"/>
          </w:tcPr>
          <w:p w14:paraId="592629A2">
            <w:pPr>
              <w:spacing w:line="400" w:lineRule="exact"/>
              <w:jc w:val="left"/>
              <w:rPr>
                <w:rFonts w:ascii="宋体" w:hAnsi="宋体"/>
                <w:color w:val="000000"/>
              </w:rPr>
            </w:pPr>
          </w:p>
        </w:tc>
        <w:tc>
          <w:tcPr>
            <w:tcW w:w="1703" w:type="dxa"/>
          </w:tcPr>
          <w:p w14:paraId="13A9F111">
            <w:pPr>
              <w:spacing w:line="400" w:lineRule="exact"/>
              <w:jc w:val="left"/>
              <w:rPr>
                <w:rFonts w:ascii="宋体" w:hAnsi="宋体"/>
                <w:color w:val="000000"/>
              </w:rPr>
            </w:pPr>
          </w:p>
        </w:tc>
      </w:tr>
      <w:tr w14:paraId="3BAB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Align w:val="center"/>
          </w:tcPr>
          <w:p w14:paraId="5B6E034D">
            <w:pPr>
              <w:spacing w:line="400" w:lineRule="exact"/>
              <w:jc w:val="center"/>
              <w:rPr>
                <w:rFonts w:ascii="宋体" w:hAnsi="宋体"/>
                <w:color w:val="000000"/>
              </w:rPr>
            </w:pPr>
            <w:r>
              <w:rPr>
                <w:rFonts w:hint="eastAsia" w:ascii="宋体" w:hAnsi="宋体"/>
                <w:color w:val="000000"/>
              </w:rPr>
              <w:t>4</w:t>
            </w:r>
          </w:p>
        </w:tc>
        <w:tc>
          <w:tcPr>
            <w:tcW w:w="1155" w:type="dxa"/>
            <w:vAlign w:val="center"/>
          </w:tcPr>
          <w:p w14:paraId="2FEE6D0E">
            <w:pPr>
              <w:spacing w:line="400" w:lineRule="exact"/>
              <w:rPr>
                <w:rFonts w:ascii="宋体" w:hAnsi="宋体"/>
                <w:color w:val="000000"/>
              </w:rPr>
            </w:pPr>
          </w:p>
          <w:p w14:paraId="2962C562">
            <w:pPr>
              <w:spacing w:line="400" w:lineRule="exact"/>
              <w:jc w:val="center"/>
              <w:rPr>
                <w:rFonts w:ascii="宋体" w:hAnsi="宋体"/>
                <w:color w:val="000000"/>
              </w:rPr>
            </w:pPr>
            <w:r>
              <w:rPr>
                <w:rFonts w:hint="eastAsia" w:ascii="宋体" w:hAnsi="宋体"/>
                <w:color w:val="000000"/>
              </w:rPr>
              <w:t>验收</w:t>
            </w:r>
          </w:p>
          <w:p w14:paraId="51E3AF21">
            <w:pPr>
              <w:spacing w:line="400" w:lineRule="exact"/>
              <w:jc w:val="center"/>
              <w:rPr>
                <w:rFonts w:ascii="宋体" w:hAnsi="宋体"/>
                <w:color w:val="000000"/>
              </w:rPr>
            </w:pPr>
            <w:r>
              <w:rPr>
                <w:rFonts w:hint="eastAsia" w:ascii="宋体" w:hAnsi="宋体"/>
                <w:color w:val="000000"/>
              </w:rPr>
              <w:t>（2分）</w:t>
            </w:r>
          </w:p>
        </w:tc>
        <w:tc>
          <w:tcPr>
            <w:tcW w:w="5625" w:type="dxa"/>
          </w:tcPr>
          <w:p w14:paraId="2E6CC980">
            <w:pPr>
              <w:spacing w:line="400" w:lineRule="exact"/>
              <w:jc w:val="left"/>
              <w:rPr>
                <w:rFonts w:ascii="宋体" w:hAnsi="宋体"/>
                <w:color w:val="000000"/>
              </w:rPr>
            </w:pPr>
            <w:r>
              <w:rPr>
                <w:rFonts w:hint="eastAsia" w:ascii="宋体" w:hAnsi="宋体"/>
                <w:color w:val="000000"/>
              </w:rPr>
              <w:t>1.项目一次性竣工验收合格的加2分；</w:t>
            </w:r>
          </w:p>
          <w:p w14:paraId="3FD067F5">
            <w:pPr>
              <w:spacing w:line="400" w:lineRule="exact"/>
              <w:jc w:val="left"/>
              <w:rPr>
                <w:rFonts w:ascii="宋体" w:hAnsi="宋体"/>
                <w:color w:val="000000"/>
              </w:rPr>
            </w:pPr>
            <w:r>
              <w:rPr>
                <w:rFonts w:hint="eastAsia" w:ascii="宋体" w:hAnsi="宋体"/>
                <w:color w:val="000000"/>
              </w:rPr>
              <w:t>2.第一次验收不合格的扣1分，整改后仍然验收不合格的扣2分；</w:t>
            </w:r>
          </w:p>
        </w:tc>
        <w:tc>
          <w:tcPr>
            <w:tcW w:w="915" w:type="dxa"/>
          </w:tcPr>
          <w:p w14:paraId="30EBC4E0">
            <w:pPr>
              <w:spacing w:line="400" w:lineRule="exact"/>
              <w:jc w:val="left"/>
              <w:rPr>
                <w:rFonts w:ascii="宋体" w:hAnsi="宋体"/>
                <w:color w:val="000000"/>
              </w:rPr>
            </w:pPr>
          </w:p>
        </w:tc>
        <w:tc>
          <w:tcPr>
            <w:tcW w:w="1703" w:type="dxa"/>
          </w:tcPr>
          <w:p w14:paraId="75957B13">
            <w:pPr>
              <w:spacing w:line="400" w:lineRule="exact"/>
              <w:jc w:val="left"/>
              <w:rPr>
                <w:rFonts w:ascii="宋体" w:hAnsi="宋体"/>
                <w:color w:val="000000"/>
              </w:rPr>
            </w:pPr>
          </w:p>
          <w:p w14:paraId="6DD02ECC">
            <w:pPr>
              <w:spacing w:line="400" w:lineRule="exact"/>
              <w:jc w:val="left"/>
              <w:rPr>
                <w:rFonts w:ascii="宋体" w:hAnsi="宋体"/>
                <w:color w:val="000000"/>
              </w:rPr>
            </w:pPr>
          </w:p>
        </w:tc>
      </w:tr>
      <w:tr w14:paraId="7F915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Align w:val="center"/>
          </w:tcPr>
          <w:p w14:paraId="27F6C946">
            <w:pPr>
              <w:spacing w:line="400" w:lineRule="exact"/>
              <w:jc w:val="center"/>
              <w:rPr>
                <w:rFonts w:ascii="宋体" w:hAnsi="宋体" w:eastAsia="宋体"/>
                <w:color w:val="000000"/>
              </w:rPr>
            </w:pPr>
            <w:r>
              <w:rPr>
                <w:rFonts w:hint="eastAsia" w:ascii="宋体" w:hAnsi="宋体"/>
                <w:color w:val="000000"/>
              </w:rPr>
              <w:t>5</w:t>
            </w:r>
          </w:p>
        </w:tc>
        <w:tc>
          <w:tcPr>
            <w:tcW w:w="1155" w:type="dxa"/>
            <w:vAlign w:val="center"/>
          </w:tcPr>
          <w:p w14:paraId="5F70FE16">
            <w:pPr>
              <w:spacing w:line="400" w:lineRule="exact"/>
              <w:jc w:val="center"/>
              <w:rPr>
                <w:rFonts w:ascii="宋体" w:hAnsi="宋体"/>
                <w:color w:val="000000"/>
              </w:rPr>
            </w:pPr>
            <w:r>
              <w:rPr>
                <w:rFonts w:hint="eastAsia" w:ascii="宋体" w:hAnsi="宋体"/>
                <w:color w:val="000000"/>
              </w:rPr>
              <w:t>配合满意度</w:t>
            </w:r>
          </w:p>
          <w:p w14:paraId="4A1222C5">
            <w:pPr>
              <w:spacing w:line="400" w:lineRule="exact"/>
              <w:ind w:firstLine="105" w:firstLineChars="50"/>
              <w:rPr>
                <w:rFonts w:ascii="宋体" w:hAnsi="宋体"/>
                <w:color w:val="000000"/>
              </w:rPr>
            </w:pPr>
            <w:r>
              <w:rPr>
                <w:rFonts w:hint="eastAsia" w:ascii="宋体" w:hAnsi="宋体"/>
                <w:color w:val="000000"/>
              </w:rPr>
              <w:t>(5分)</w:t>
            </w:r>
          </w:p>
        </w:tc>
        <w:tc>
          <w:tcPr>
            <w:tcW w:w="5625" w:type="dxa"/>
          </w:tcPr>
          <w:p w14:paraId="45A781E3">
            <w:pPr>
              <w:spacing w:line="400" w:lineRule="exact"/>
              <w:jc w:val="left"/>
              <w:rPr>
                <w:rFonts w:ascii="宋体" w:hAnsi="宋体"/>
                <w:color w:val="000000"/>
              </w:rPr>
            </w:pPr>
            <w:r>
              <w:rPr>
                <w:rFonts w:hint="eastAsia" w:ascii="宋体" w:hAnsi="宋体"/>
                <w:color w:val="000000"/>
              </w:rPr>
              <w:t>项目实施过中对</w:t>
            </w:r>
            <w:r>
              <w:rPr>
                <w:rFonts w:hint="eastAsia" w:ascii="宋体" w:hAnsi="宋体"/>
                <w:color w:val="000000"/>
                <w:lang w:val="en-US" w:eastAsia="zh-CN"/>
              </w:rPr>
              <w:t>监理</w:t>
            </w:r>
            <w:bookmarkStart w:id="0" w:name="_GoBack"/>
            <w:bookmarkEnd w:id="0"/>
            <w:r>
              <w:rPr>
                <w:rFonts w:hint="eastAsia" w:ascii="宋体" w:hAnsi="宋体"/>
                <w:color w:val="000000"/>
              </w:rPr>
              <w:t>单位的配合度及满意度的评价。(好：5分，中3分，差0分)</w:t>
            </w:r>
          </w:p>
        </w:tc>
        <w:tc>
          <w:tcPr>
            <w:tcW w:w="915" w:type="dxa"/>
          </w:tcPr>
          <w:p w14:paraId="1FF416A9">
            <w:pPr>
              <w:spacing w:line="400" w:lineRule="exact"/>
              <w:jc w:val="left"/>
              <w:rPr>
                <w:rFonts w:ascii="宋体" w:hAnsi="宋体"/>
                <w:color w:val="000000"/>
              </w:rPr>
            </w:pPr>
          </w:p>
        </w:tc>
        <w:tc>
          <w:tcPr>
            <w:tcW w:w="1703" w:type="dxa"/>
          </w:tcPr>
          <w:p w14:paraId="25F20AC4">
            <w:pPr>
              <w:spacing w:line="400" w:lineRule="exact"/>
              <w:jc w:val="left"/>
              <w:rPr>
                <w:rFonts w:ascii="宋体" w:hAnsi="宋体"/>
                <w:color w:val="000000"/>
              </w:rPr>
            </w:pPr>
          </w:p>
        </w:tc>
      </w:tr>
      <w:tr w14:paraId="4570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Align w:val="center"/>
          </w:tcPr>
          <w:p w14:paraId="4B7DCC15">
            <w:pPr>
              <w:spacing w:line="400" w:lineRule="exact"/>
              <w:jc w:val="center"/>
              <w:rPr>
                <w:rFonts w:ascii="宋体" w:hAnsi="宋体" w:eastAsia="宋体"/>
                <w:color w:val="000000"/>
              </w:rPr>
            </w:pPr>
            <w:r>
              <w:rPr>
                <w:rFonts w:hint="eastAsia" w:ascii="宋体" w:hAnsi="宋体"/>
                <w:color w:val="000000"/>
              </w:rPr>
              <w:t>6</w:t>
            </w:r>
          </w:p>
        </w:tc>
        <w:tc>
          <w:tcPr>
            <w:tcW w:w="1155" w:type="dxa"/>
            <w:vAlign w:val="center"/>
          </w:tcPr>
          <w:p w14:paraId="4854DDF3">
            <w:pPr>
              <w:spacing w:line="400" w:lineRule="exact"/>
              <w:jc w:val="center"/>
              <w:rPr>
                <w:rFonts w:ascii="宋体" w:hAnsi="宋体" w:eastAsia="宋体"/>
                <w:color w:val="000000"/>
              </w:rPr>
            </w:pPr>
            <w:r>
              <w:rPr>
                <w:rFonts w:hint="eastAsia" w:ascii="宋体" w:hAnsi="宋体"/>
                <w:color w:val="000000"/>
              </w:rPr>
              <w:t>其他</w:t>
            </w:r>
          </w:p>
          <w:p w14:paraId="7E4507C7">
            <w:pPr>
              <w:spacing w:line="400" w:lineRule="exact"/>
              <w:ind w:firstLine="105" w:firstLineChars="50"/>
              <w:rPr>
                <w:rFonts w:ascii="宋体" w:hAnsi="宋体"/>
                <w:color w:val="000000"/>
              </w:rPr>
            </w:pPr>
            <w:r>
              <w:rPr>
                <w:rFonts w:hint="eastAsia" w:ascii="宋体" w:hAnsi="宋体"/>
                <w:color w:val="000000"/>
              </w:rPr>
              <w:t>3分)</w:t>
            </w:r>
          </w:p>
        </w:tc>
        <w:tc>
          <w:tcPr>
            <w:tcW w:w="5625" w:type="dxa"/>
          </w:tcPr>
          <w:p w14:paraId="0DE4889D">
            <w:pPr>
              <w:spacing w:line="400" w:lineRule="exact"/>
              <w:jc w:val="left"/>
              <w:rPr>
                <w:rFonts w:ascii="宋体" w:hAnsi="宋体"/>
                <w:color w:val="000000"/>
              </w:rPr>
            </w:pPr>
            <w:r>
              <w:rPr>
                <w:rFonts w:hint="eastAsia" w:ascii="宋体" w:hAnsi="宋体"/>
                <w:color w:val="000000"/>
              </w:rPr>
              <w:t>1.施工结算资料及时提交加1分；竣工验收后2个月仍未提交结算资料扣1分；</w:t>
            </w:r>
          </w:p>
          <w:p w14:paraId="296044F6">
            <w:pPr>
              <w:spacing w:line="400" w:lineRule="exact"/>
              <w:jc w:val="left"/>
              <w:rPr>
                <w:rFonts w:ascii="宋体" w:hAnsi="宋体"/>
                <w:color w:val="000000"/>
              </w:rPr>
            </w:pPr>
            <w:r>
              <w:rPr>
                <w:rFonts w:hint="eastAsia" w:ascii="宋体" w:hAnsi="宋体"/>
                <w:color w:val="000000"/>
              </w:rPr>
              <w:t>2.施工结算资料提交时完整加2分；提交时不完整扣2分。</w:t>
            </w:r>
          </w:p>
        </w:tc>
        <w:tc>
          <w:tcPr>
            <w:tcW w:w="915" w:type="dxa"/>
          </w:tcPr>
          <w:p w14:paraId="023A237D">
            <w:pPr>
              <w:spacing w:line="400" w:lineRule="exact"/>
              <w:jc w:val="left"/>
              <w:rPr>
                <w:rFonts w:ascii="宋体" w:hAnsi="宋体"/>
                <w:color w:val="000000"/>
              </w:rPr>
            </w:pPr>
          </w:p>
        </w:tc>
        <w:tc>
          <w:tcPr>
            <w:tcW w:w="1703" w:type="dxa"/>
          </w:tcPr>
          <w:p w14:paraId="6095A819">
            <w:pPr>
              <w:spacing w:line="400" w:lineRule="exact"/>
              <w:jc w:val="left"/>
              <w:rPr>
                <w:rFonts w:ascii="宋体" w:hAnsi="宋体"/>
                <w:color w:val="000000"/>
              </w:rPr>
            </w:pPr>
          </w:p>
        </w:tc>
      </w:tr>
      <w:tr w14:paraId="64FB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990" w:type="dxa"/>
            <w:gridSpan w:val="2"/>
            <w:vAlign w:val="center"/>
          </w:tcPr>
          <w:p w14:paraId="7D45DE8D">
            <w:pPr>
              <w:spacing w:line="400" w:lineRule="exact"/>
              <w:jc w:val="center"/>
              <w:rPr>
                <w:rFonts w:ascii="宋体" w:hAnsi="宋体"/>
                <w:color w:val="000000"/>
              </w:rPr>
            </w:pPr>
            <w:r>
              <w:rPr>
                <w:rFonts w:hint="eastAsia" w:ascii="宋体" w:hAnsi="宋体"/>
                <w:color w:val="000000"/>
              </w:rPr>
              <w:t>合计得分</w:t>
            </w:r>
          </w:p>
          <w:p w14:paraId="552BBDD5">
            <w:pPr>
              <w:spacing w:line="400" w:lineRule="exact"/>
              <w:jc w:val="center"/>
              <w:rPr>
                <w:rFonts w:ascii="宋体" w:hAnsi="宋体"/>
                <w:color w:val="000000"/>
              </w:rPr>
            </w:pPr>
          </w:p>
        </w:tc>
        <w:tc>
          <w:tcPr>
            <w:tcW w:w="8243" w:type="dxa"/>
            <w:gridSpan w:val="3"/>
          </w:tcPr>
          <w:p w14:paraId="5F5CDB94">
            <w:pPr>
              <w:spacing w:line="400" w:lineRule="exact"/>
              <w:jc w:val="left"/>
              <w:rPr>
                <w:rFonts w:ascii="宋体" w:hAnsi="宋体"/>
                <w:color w:val="000000"/>
              </w:rPr>
            </w:pPr>
          </w:p>
        </w:tc>
      </w:tr>
      <w:tr w14:paraId="642B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10233" w:type="dxa"/>
            <w:gridSpan w:val="5"/>
          </w:tcPr>
          <w:p w14:paraId="2E092E59">
            <w:pPr>
              <w:spacing w:line="600" w:lineRule="exact"/>
              <w:rPr>
                <w:rFonts w:ascii="宋体" w:hAnsi="宋体"/>
                <w:color w:val="000000"/>
              </w:rPr>
            </w:pPr>
            <w:r>
              <w:rPr>
                <w:rFonts w:hint="eastAsia" w:ascii="宋体" w:hAnsi="宋体"/>
                <w:color w:val="000000"/>
              </w:rPr>
              <w:t xml:space="preserve">                        </w:t>
            </w:r>
          </w:p>
          <w:p w14:paraId="24D16956">
            <w:pPr>
              <w:spacing w:line="600" w:lineRule="exact"/>
              <w:ind w:firstLine="210" w:firstLineChars="100"/>
              <w:rPr>
                <w:rFonts w:ascii="宋体" w:hAnsi="宋体"/>
                <w:color w:val="000000"/>
              </w:rPr>
            </w:pPr>
            <w:r>
              <w:rPr>
                <w:rFonts w:hint="eastAsia" w:ascii="宋体" w:hAnsi="宋体"/>
                <w:color w:val="000000"/>
              </w:rPr>
              <w:t>现场管理人员：                                年   月   日</w:t>
            </w:r>
          </w:p>
        </w:tc>
      </w:tr>
    </w:tbl>
    <w:p w14:paraId="15C2D4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dmMjRkMDI2NGJlODUyZWUyYjhjOGFlNjA5Y2UyNDcifQ=="/>
  </w:docVars>
  <w:rsids>
    <w:rsidRoot w:val="4E6742F2"/>
    <w:rsid w:val="001D6264"/>
    <w:rsid w:val="00434AD1"/>
    <w:rsid w:val="0044173E"/>
    <w:rsid w:val="008E34BD"/>
    <w:rsid w:val="00A251D8"/>
    <w:rsid w:val="00AB787F"/>
    <w:rsid w:val="00B64785"/>
    <w:rsid w:val="00E72BC5"/>
    <w:rsid w:val="00F70DEE"/>
    <w:rsid w:val="20583BC0"/>
    <w:rsid w:val="22B36625"/>
    <w:rsid w:val="23F61495"/>
    <w:rsid w:val="2BC60048"/>
    <w:rsid w:val="43960E4D"/>
    <w:rsid w:val="4E6742F2"/>
    <w:rsid w:val="4FE965EF"/>
    <w:rsid w:val="552B69F8"/>
    <w:rsid w:val="59DC47CA"/>
    <w:rsid w:val="5D432B43"/>
    <w:rsid w:val="60B117C8"/>
    <w:rsid w:val="64316606"/>
    <w:rsid w:val="7A407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page number"/>
    <w:qFormat/>
    <w:uiPriority w:val="0"/>
    <w:rPr>
      <w:rFonts w:ascii="Times New Roman" w:hAnsi="Times New Roman" w:eastAsia="宋体" w:cs="Times New Roman"/>
    </w:rPr>
  </w:style>
  <w:style w:type="paragraph" w:styleId="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C93B8-DD93-4633-9C29-BA2858DD76F9}">
  <ds:schemaRefs/>
</ds:datastoreItem>
</file>

<file path=docProps/app.xml><?xml version="1.0" encoding="utf-8"?>
<Properties xmlns="http://schemas.openxmlformats.org/officeDocument/2006/extended-properties" xmlns:vt="http://schemas.openxmlformats.org/officeDocument/2006/docPropsVTypes">
  <Template>Normal</Template>
  <Pages>7</Pages>
  <Words>3274</Words>
  <Characters>3401</Characters>
  <Lines>27</Lines>
  <Paragraphs>7</Paragraphs>
  <TotalTime>14</TotalTime>
  <ScaleCrop>false</ScaleCrop>
  <LinksUpToDate>false</LinksUpToDate>
  <CharactersWithSpaces>3698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2024-12-26T03:10:00Z</dcterms:created>
  <dc:creator>蔡燕婷</dc:creator>
  <cp:lastModifiedBy>蔡燕婷</cp:lastModifiedBy>
  <dcterms:modified xsi:type="dcterms:W3CDTF">2024-12-26T10:02:40Z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C8EB4587DE6A45749DC615E339DEBD3B_11</vt:lpwstr>
  </property>
</Properties>
</file>